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江西开放大学</w:t>
      </w: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鹰潭市分校2020年度发展报告</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left"/>
        <w:textAlignment w:val="auto"/>
        <w:rPr>
          <w:rFonts w:hint="eastAsia" w:ascii="黑体" w:hAnsi="黑体" w:eastAsia="黑体" w:cs="黑体"/>
          <w:color w:val="auto"/>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Chars="0" w:firstLine="640" w:firstLineChars="200"/>
        <w:jc w:val="both"/>
        <w:textAlignment w:val="auto"/>
        <w:rPr>
          <w:rFonts w:hint="eastAsia" w:ascii="黑体" w:hAnsi="黑体" w:eastAsia="黑体" w:cs="黑体"/>
          <w:color w:val="auto"/>
          <w:sz w:val="32"/>
          <w:szCs w:val="32"/>
          <w:highlight w:val="none"/>
          <w:lang w:val="en-US" w:eastAsia="zh-CN"/>
        </w:rPr>
      </w:pPr>
      <w:bookmarkStart w:id="0" w:name="_Toc40173461"/>
      <w:r>
        <w:rPr>
          <w:rFonts w:hint="eastAsia" w:ascii="黑体" w:hAnsi="黑体" w:eastAsia="黑体" w:cs="黑体"/>
          <w:b w:val="0"/>
          <w:bCs w:val="0"/>
          <w:color w:val="auto"/>
          <w:kern w:val="2"/>
          <w:sz w:val="32"/>
          <w:szCs w:val="32"/>
          <w:highlight w:val="none"/>
          <w:lang w:val="en-US" w:eastAsia="zh-CN" w:bidi="ar-SA"/>
        </w:rPr>
        <w:t>省校重点工作推进情况</w:t>
      </w:r>
    </w:p>
    <w:p>
      <w:pPr>
        <w:keepNext w:val="0"/>
        <w:keepLines w:val="0"/>
        <w:pageBreakBefore w:val="0"/>
        <w:kinsoku/>
        <w:wordWrap/>
        <w:overflowPunct/>
        <w:topLinePunct w:val="0"/>
        <w:autoSpaceDE/>
        <w:autoSpaceDN/>
        <w:bidi w:val="0"/>
        <w:spacing w:before="0" w:after="0" w:line="576" w:lineRule="exact"/>
        <w:ind w:left="0" w:right="0" w:firstLine="640" w:firstLineChars="200"/>
        <w:jc w:val="both"/>
        <w:rPr>
          <w:rFonts w:hint="default" w:ascii="仿宋_GB2312" w:hAnsi="Calibri" w:eastAsia="仿宋_GB2312" w:cs="Times New Roman"/>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bidi="ar-SA"/>
        </w:rPr>
        <w:t>2020年</w:t>
      </w:r>
      <w:r>
        <w:rPr>
          <w:rFonts w:hint="eastAsia" w:ascii="仿宋_GB2312" w:hAnsi="Calibri" w:eastAsia="仿宋_GB2312" w:cs="Times New Roman"/>
          <w:kern w:val="2"/>
          <w:sz w:val="32"/>
          <w:szCs w:val="32"/>
          <w:highlight w:val="none"/>
          <w:lang w:val="en-US" w:eastAsia="zh-CN" w:bidi="ar-SA"/>
        </w:rPr>
        <w:t>鹰潭</w:t>
      </w:r>
      <w:r>
        <w:rPr>
          <w:rFonts w:hint="eastAsia" w:ascii="仿宋_GB2312" w:hAnsi="Calibri" w:eastAsia="仿宋_GB2312" w:cs="Times New Roman"/>
          <w:kern w:val="2"/>
          <w:sz w:val="32"/>
          <w:szCs w:val="32"/>
          <w:highlight w:val="none"/>
          <w:lang w:val="en-US" w:bidi="ar-SA"/>
        </w:rPr>
        <w:t>市分校围绕省校重点工作，着力推进</w:t>
      </w:r>
      <w:r>
        <w:rPr>
          <w:rFonts w:hint="eastAsia" w:ascii="仿宋_GB2312" w:hAnsi="Calibri" w:eastAsia="仿宋_GB2312" w:cs="Times New Roman"/>
          <w:kern w:val="2"/>
          <w:sz w:val="32"/>
          <w:szCs w:val="32"/>
          <w:highlight w:val="none"/>
          <w:lang w:val="en-US" w:eastAsia="zh-CN" w:bidi="ar-SA"/>
        </w:rPr>
        <w:t>三</w:t>
      </w:r>
      <w:r>
        <w:rPr>
          <w:rFonts w:hint="eastAsia" w:ascii="仿宋_GB2312" w:hAnsi="Calibri" w:eastAsia="仿宋_GB2312" w:cs="Times New Roman"/>
          <w:kern w:val="2"/>
          <w:sz w:val="32"/>
          <w:szCs w:val="32"/>
          <w:highlight w:val="none"/>
          <w:lang w:val="en-US" w:bidi="ar-SA"/>
        </w:rPr>
        <w:t>大工作：</w:t>
      </w:r>
      <w:r>
        <w:rPr>
          <w:rFonts w:hint="eastAsia" w:ascii="仿宋_GB2312" w:hAnsi="Calibri" w:eastAsia="仿宋_GB2312" w:cs="Times New Roman"/>
          <w:kern w:val="2"/>
          <w:sz w:val="32"/>
          <w:szCs w:val="32"/>
          <w:highlight w:val="none"/>
          <w:lang w:val="en-US" w:eastAsia="zh-CN" w:bidi="ar-SA"/>
        </w:rPr>
        <w:t>一是</w:t>
      </w:r>
      <w:r>
        <w:rPr>
          <w:rFonts w:hint="eastAsia" w:ascii="仿宋_GB2312" w:hAnsi="Calibri" w:eastAsia="仿宋_GB2312" w:cs="Times New Roman"/>
          <w:kern w:val="2"/>
          <w:sz w:val="32"/>
          <w:szCs w:val="32"/>
          <w:highlight w:val="none"/>
          <w:lang w:val="en-US" w:bidi="ar-SA"/>
        </w:rPr>
        <w:t>落实</w:t>
      </w:r>
      <w:r>
        <w:rPr>
          <w:rFonts w:hint="eastAsia" w:ascii="仿宋_GB2312" w:hAnsi="Calibri" w:eastAsia="仿宋_GB2312" w:cs="Times New Roman"/>
          <w:kern w:val="2"/>
          <w:sz w:val="32"/>
          <w:szCs w:val="32"/>
          <w:highlight w:val="none"/>
          <w:lang w:val="zh-CN" w:eastAsia="zh-CN" w:bidi="ar-SA"/>
        </w:rPr>
        <w:t>省校</w:t>
      </w:r>
      <w:r>
        <w:rPr>
          <w:rFonts w:hint="eastAsia" w:ascii="仿宋_GB2312" w:eastAsia="仿宋_GB2312" w:cs="Times New Roman"/>
          <w:kern w:val="2"/>
          <w:sz w:val="32"/>
          <w:szCs w:val="32"/>
          <w:highlight w:val="none"/>
          <w:lang w:val="zh-CN" w:eastAsia="zh-CN" w:bidi="ar-SA"/>
        </w:rPr>
        <w:t>“治招”要求</w:t>
      </w:r>
      <w:r>
        <w:rPr>
          <w:rFonts w:hint="eastAsia" w:ascii="仿宋_GB2312" w:hAnsi="Calibri" w:eastAsia="仿宋_GB2312" w:cs="Times New Roman"/>
          <w:kern w:val="2"/>
          <w:sz w:val="32"/>
          <w:szCs w:val="32"/>
          <w:highlight w:val="none"/>
          <w:lang w:val="en-US" w:eastAsia="zh-CN" w:bidi="ar-SA"/>
        </w:rPr>
        <w:t>，</w:t>
      </w:r>
      <w:r>
        <w:rPr>
          <w:rFonts w:hint="eastAsia" w:ascii="仿宋_GB2312" w:hAnsi="Calibri" w:eastAsia="仿宋_GB2312" w:cs="Times New Roman"/>
          <w:kern w:val="2"/>
          <w:sz w:val="32"/>
          <w:szCs w:val="32"/>
          <w:highlight w:val="none"/>
          <w:lang w:val="en-US" w:bidi="ar-SA"/>
        </w:rPr>
        <w:t>招生规模和规范两手抓，制止乱招生、乱设点、乱发文凭等各类招生乱象，拒绝虚假承诺，通过对招生全过程的严格监控管理和招生服务手段的优化，提升招生工作质量和管理水平</w:t>
      </w:r>
      <w:r>
        <w:rPr>
          <w:rFonts w:hint="eastAsia" w:ascii="仿宋_GB2312" w:hAnsi="Calibri" w:eastAsia="仿宋_GB2312" w:cs="Times New Roman"/>
          <w:kern w:val="2"/>
          <w:sz w:val="32"/>
          <w:szCs w:val="32"/>
          <w:highlight w:val="none"/>
          <w:lang w:val="en-US" w:eastAsia="zh-CN" w:bidi="ar-SA"/>
        </w:rPr>
        <w:t>；二是</w:t>
      </w:r>
      <w:r>
        <w:rPr>
          <w:rFonts w:hint="eastAsia" w:ascii="仿宋_GB2312" w:hAnsi="Calibri" w:eastAsia="仿宋_GB2312" w:cs="Times New Roman"/>
          <w:kern w:val="2"/>
          <w:sz w:val="32"/>
          <w:szCs w:val="32"/>
          <w:highlight w:val="none"/>
          <w:lang w:val="en-US" w:bidi="ar-SA"/>
        </w:rPr>
        <w:t>落实</w:t>
      </w:r>
      <w:r>
        <w:rPr>
          <w:rFonts w:hint="eastAsia" w:ascii="仿宋_GB2312" w:hAnsi="Calibri" w:eastAsia="仿宋_GB2312" w:cs="Times New Roman"/>
          <w:kern w:val="2"/>
          <w:sz w:val="32"/>
          <w:szCs w:val="32"/>
          <w:highlight w:val="none"/>
          <w:lang w:val="zh-CN" w:eastAsia="zh-CN" w:bidi="ar-SA"/>
        </w:rPr>
        <w:t>省校</w:t>
      </w:r>
      <w:r>
        <w:rPr>
          <w:rFonts w:hint="eastAsia" w:ascii="仿宋_GB2312" w:hAnsi="Calibri" w:eastAsia="仿宋_GB2312" w:cs="Times New Roman"/>
          <w:kern w:val="2"/>
          <w:sz w:val="32"/>
          <w:szCs w:val="32"/>
          <w:highlight w:val="none"/>
          <w:lang w:val="en-US" w:bidi="ar-SA"/>
        </w:rPr>
        <w:t>“治学”要求</w:t>
      </w:r>
      <w:r>
        <w:rPr>
          <w:rFonts w:hint="eastAsia" w:ascii="仿宋_GB2312" w:hAnsi="Calibri" w:eastAsia="仿宋_GB2312" w:cs="Times New Roman"/>
          <w:kern w:val="2"/>
          <w:sz w:val="32"/>
          <w:szCs w:val="32"/>
          <w:highlight w:val="none"/>
          <w:lang w:val="en-US" w:eastAsia="zh-CN" w:bidi="ar-SA"/>
        </w:rPr>
        <w:t>，</w:t>
      </w:r>
      <w:r>
        <w:rPr>
          <w:rFonts w:hint="eastAsia" w:ascii="仿宋_GB2312" w:hAnsi="Calibri" w:eastAsia="仿宋_GB2312" w:cs="Times New Roman"/>
          <w:kern w:val="2"/>
          <w:sz w:val="32"/>
          <w:szCs w:val="32"/>
          <w:highlight w:val="none"/>
          <w:lang w:val="en-US" w:bidi="ar-SA"/>
        </w:rPr>
        <w:t>坚持以学生为中心，以教学质量为核心，以教学内容和实践教学改革为重点，统筹线上线下有机结合的教学活动，加强教学支撑服务，提高学生的学习成效和满意度</w:t>
      </w:r>
      <w:r>
        <w:rPr>
          <w:rFonts w:hint="eastAsia" w:ascii="仿宋_GB2312" w:hAnsi="Calibri" w:eastAsia="仿宋_GB2312" w:cs="Times New Roman"/>
          <w:kern w:val="2"/>
          <w:sz w:val="32"/>
          <w:szCs w:val="32"/>
          <w:highlight w:val="none"/>
          <w:lang w:val="en-US" w:eastAsia="zh-CN" w:bidi="ar-SA"/>
        </w:rPr>
        <w:t>；三是</w:t>
      </w:r>
      <w:r>
        <w:rPr>
          <w:rFonts w:hint="eastAsia" w:ascii="仿宋_GB2312" w:hAnsi="Calibri" w:eastAsia="仿宋_GB2312" w:cs="Times New Roman"/>
          <w:kern w:val="2"/>
          <w:sz w:val="32"/>
          <w:szCs w:val="32"/>
          <w:highlight w:val="none"/>
          <w:lang w:val="en-US" w:bidi="ar-SA"/>
        </w:rPr>
        <w:t>落实</w:t>
      </w:r>
      <w:r>
        <w:rPr>
          <w:rFonts w:hint="eastAsia" w:ascii="仿宋_GB2312" w:hAnsi="Calibri" w:eastAsia="仿宋_GB2312" w:cs="Times New Roman"/>
          <w:kern w:val="2"/>
          <w:sz w:val="32"/>
          <w:szCs w:val="32"/>
          <w:highlight w:val="none"/>
          <w:lang w:val="zh-CN" w:eastAsia="zh-CN" w:bidi="ar-SA"/>
        </w:rPr>
        <w:t>省校</w:t>
      </w:r>
      <w:r>
        <w:rPr>
          <w:rFonts w:hint="eastAsia" w:ascii="仿宋_GB2312" w:hAnsi="Calibri" w:eastAsia="仿宋_GB2312" w:cs="Times New Roman"/>
          <w:kern w:val="2"/>
          <w:sz w:val="32"/>
          <w:szCs w:val="32"/>
          <w:highlight w:val="none"/>
          <w:lang w:val="en-US" w:bidi="ar-SA"/>
        </w:rPr>
        <w:t>“治考”要求</w:t>
      </w:r>
      <w:r>
        <w:rPr>
          <w:rFonts w:hint="eastAsia" w:ascii="仿宋_GB2312" w:hAnsi="Calibri" w:eastAsia="仿宋_GB2312" w:cs="Times New Roman"/>
          <w:kern w:val="2"/>
          <w:sz w:val="32"/>
          <w:szCs w:val="32"/>
          <w:highlight w:val="none"/>
          <w:lang w:val="en-US" w:eastAsia="zh-CN" w:bidi="ar-SA"/>
        </w:rPr>
        <w:t>，</w:t>
      </w:r>
      <w:r>
        <w:rPr>
          <w:rFonts w:hint="eastAsia" w:ascii="仿宋_GB2312" w:hAnsi="Calibri" w:eastAsia="仿宋_GB2312" w:cs="Times New Roman"/>
          <w:kern w:val="2"/>
          <w:sz w:val="32"/>
          <w:szCs w:val="32"/>
          <w:highlight w:val="none"/>
          <w:lang w:val="en-US" w:bidi="ar-SA"/>
        </w:rPr>
        <w:t>根据</w:t>
      </w:r>
      <w:r>
        <w:rPr>
          <w:rFonts w:hint="eastAsia" w:ascii="仿宋_GB2312" w:hAnsi="Calibri" w:eastAsia="仿宋_GB2312" w:cs="Times New Roman"/>
          <w:kern w:val="2"/>
          <w:sz w:val="32"/>
          <w:szCs w:val="32"/>
          <w:highlight w:val="none"/>
          <w:lang w:val="zh-CN" w:eastAsia="zh-CN" w:bidi="ar-SA"/>
        </w:rPr>
        <w:t>省校</w:t>
      </w:r>
      <w:r>
        <w:rPr>
          <w:rFonts w:hint="eastAsia" w:ascii="仿宋_GB2312" w:hAnsi="Calibri" w:eastAsia="仿宋_GB2312" w:cs="Times New Roman"/>
          <w:kern w:val="2"/>
          <w:sz w:val="32"/>
          <w:szCs w:val="32"/>
          <w:highlight w:val="none"/>
          <w:lang w:val="en-US" w:bidi="ar-SA"/>
        </w:rPr>
        <w:t>的统一部署，进一步强化责任意识、规范意识、风险意识，严格按照各项规章制度规范考试工作。</w:t>
      </w:r>
    </w:p>
    <w:p>
      <w:pPr>
        <w:keepNext w:val="0"/>
        <w:keepLines w:val="0"/>
        <w:pageBreakBefore w:val="0"/>
        <w:widowControl w:val="0"/>
        <w:kinsoku/>
        <w:wordWrap/>
        <w:overflowPunct/>
        <w:topLinePunct w:val="0"/>
        <w:autoSpaceDE/>
        <w:autoSpaceDN/>
        <w:bidi w:val="0"/>
        <w:adjustRightInd/>
        <w:snapToGrid/>
        <w:spacing w:line="576" w:lineRule="exact"/>
        <w:ind w:leftChars="0" w:firstLine="640" w:firstLineChars="200"/>
        <w:jc w:val="both"/>
        <w:textAlignment w:val="auto"/>
        <w:rPr>
          <w:rFonts w:hint="default" w:ascii="仿宋" w:hAnsi="仿宋" w:eastAsia="仿宋" w:cs="仿宋"/>
          <w:color w:val="auto"/>
          <w:highlight w:val="none"/>
          <w:lang w:val="en-US" w:eastAsia="zh-CN"/>
        </w:rPr>
      </w:pPr>
      <w:r>
        <w:rPr>
          <w:rFonts w:hint="eastAsia" w:ascii="黑体" w:hAnsi="黑体" w:eastAsia="黑体" w:cs="黑体"/>
          <w:b w:val="0"/>
          <w:bCs w:val="0"/>
          <w:color w:val="auto"/>
          <w:kern w:val="2"/>
          <w:sz w:val="32"/>
          <w:szCs w:val="32"/>
          <w:highlight w:val="none"/>
          <w:lang w:val="en-US" w:eastAsia="zh-CN" w:bidi="ar-SA"/>
        </w:rPr>
        <w:t>二、人才培养</w:t>
      </w:r>
      <w:bookmarkEnd w:id="0"/>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736" w:firstLineChars="23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rPr>
        <w:t>(一)学历教育</w:t>
      </w:r>
      <w:r>
        <w:rPr>
          <w:rFonts w:hint="eastAsia" w:ascii="楷体" w:hAnsi="楷体" w:eastAsia="楷体" w:cs="楷体"/>
          <w:b w:val="0"/>
          <w:bCs w:val="0"/>
          <w:color w:val="auto"/>
          <w:sz w:val="32"/>
          <w:szCs w:val="32"/>
          <w:highlight w:val="none"/>
          <w:lang w:val="en-US" w:eastAsia="zh-CN"/>
        </w:rPr>
        <w:t>整体培养</w:t>
      </w:r>
      <w:r>
        <w:rPr>
          <w:rFonts w:hint="eastAsia" w:ascii="楷体" w:hAnsi="楷体" w:eastAsia="楷体" w:cs="楷体"/>
          <w:b w:val="0"/>
          <w:bCs w:val="0"/>
          <w:color w:val="auto"/>
          <w:sz w:val="32"/>
          <w:szCs w:val="32"/>
          <w:highlight w:val="none"/>
          <w:lang w:eastAsia="zh-CN"/>
        </w:rPr>
        <w:t>情况</w:t>
      </w:r>
    </w:p>
    <w:p>
      <w:pPr>
        <w:pStyle w:val="2"/>
        <w:keepNext w:val="0"/>
        <w:keepLines w:val="0"/>
        <w:pageBreakBefore w:val="0"/>
        <w:kinsoku/>
        <w:wordWrap/>
        <w:overflowPunct/>
        <w:topLinePunct w:val="0"/>
        <w:bidi w:val="0"/>
        <w:spacing w:after="0" w:line="576" w:lineRule="exact"/>
        <w:ind w:firstLine="640" w:firstLineChars="200"/>
        <w:rPr>
          <w:rFonts w:hint="eastAsia"/>
          <w:highlight w:val="none"/>
          <w:lang w:eastAsia="zh-CN"/>
        </w:rPr>
      </w:pPr>
      <w:r>
        <w:rPr>
          <w:rFonts w:hint="eastAsia" w:ascii="仿宋_GB2312" w:hAnsi="仿宋_GB2312" w:eastAsia="仿宋_GB2312" w:cs="仿宋_GB2312"/>
          <w:color w:val="auto"/>
          <w:sz w:val="32"/>
          <w:szCs w:val="32"/>
          <w:highlight w:val="none"/>
          <w:u w:val="none"/>
        </w:rPr>
        <w:t>2020年各类</w:t>
      </w:r>
      <w:r>
        <w:rPr>
          <w:rFonts w:hint="eastAsia" w:ascii="仿宋_GB2312" w:hAnsi="仿宋_GB2312" w:eastAsia="仿宋_GB2312" w:cs="仿宋_GB2312"/>
          <w:color w:val="auto"/>
          <w:sz w:val="32"/>
          <w:szCs w:val="32"/>
          <w:highlight w:val="none"/>
          <w:u w:val="none"/>
          <w:lang w:val="en-US" w:eastAsia="zh-CN"/>
        </w:rPr>
        <w:t>在籍（</w:t>
      </w:r>
      <w:r>
        <w:rPr>
          <w:rFonts w:hint="eastAsia" w:ascii="仿宋_GB2312" w:hAnsi="仿宋_GB2312" w:eastAsia="仿宋_GB2312" w:cs="仿宋_GB2312"/>
          <w:color w:val="auto"/>
          <w:sz w:val="32"/>
          <w:szCs w:val="32"/>
          <w:highlight w:val="none"/>
          <w:u w:val="none"/>
        </w:rPr>
        <w:t>校</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rPr>
        <w:t>生</w:t>
      </w:r>
      <w:r>
        <w:rPr>
          <w:rFonts w:hint="eastAsia" w:ascii="仿宋_GB2312" w:hAnsi="仿宋_GB2312" w:eastAsia="仿宋_GB2312" w:cs="仿宋_GB2312"/>
          <w:color w:val="auto"/>
          <w:sz w:val="32"/>
          <w:szCs w:val="32"/>
          <w:highlight w:val="none"/>
          <w:u w:val="none"/>
          <w:lang w:val="en-US" w:eastAsia="zh-CN"/>
        </w:rPr>
        <w:t>1740</w:t>
      </w:r>
      <w:r>
        <w:rPr>
          <w:rFonts w:hint="eastAsia" w:ascii="仿宋_GB2312" w:hAnsi="仿宋_GB2312" w:eastAsia="仿宋_GB2312" w:cs="仿宋_GB2312"/>
          <w:color w:val="auto"/>
          <w:sz w:val="32"/>
          <w:szCs w:val="32"/>
          <w:highlight w:val="none"/>
          <w:u w:val="none"/>
        </w:rPr>
        <w:t>人，</w:t>
      </w:r>
      <w:r>
        <w:rPr>
          <w:rFonts w:hint="eastAsia" w:ascii="仿宋_GB2312" w:hAnsi="仿宋_GB2312" w:eastAsia="仿宋_GB2312" w:cs="仿宋_GB2312"/>
          <w:color w:val="auto"/>
          <w:sz w:val="32"/>
          <w:szCs w:val="32"/>
          <w:highlight w:val="none"/>
          <w:u w:val="none"/>
          <w:lang w:val="en-US" w:eastAsia="zh-CN"/>
        </w:rPr>
        <w:t>同比减少0.51</w:t>
      </w:r>
      <w:r>
        <w:rPr>
          <w:rFonts w:hint="eastAsia" w:ascii="仿宋_GB2312" w:hAnsi="仿宋_GB2312" w:eastAsia="仿宋_GB2312" w:cs="仿宋_GB2312"/>
          <w:color w:val="auto"/>
          <w:sz w:val="32"/>
          <w:szCs w:val="32"/>
          <w:highlight w:val="none"/>
          <w:u w:val="none"/>
        </w:rPr>
        <w:t>%；共培养各类毕业生共</w:t>
      </w:r>
      <w:r>
        <w:rPr>
          <w:rFonts w:hint="eastAsia" w:ascii="仿宋_GB2312" w:hAnsi="仿宋_GB2312" w:eastAsia="仿宋_GB2312" w:cs="仿宋_GB2312"/>
          <w:color w:val="auto"/>
          <w:sz w:val="32"/>
          <w:szCs w:val="32"/>
          <w:highlight w:val="none"/>
          <w:u w:val="none"/>
          <w:lang w:val="en-US" w:eastAsia="zh-CN"/>
        </w:rPr>
        <w:t>698</w:t>
      </w:r>
      <w:r>
        <w:rPr>
          <w:rFonts w:hint="eastAsia" w:ascii="仿宋_GB2312" w:hAnsi="仿宋_GB2312" w:eastAsia="仿宋_GB2312" w:cs="仿宋_GB2312"/>
          <w:color w:val="auto"/>
          <w:sz w:val="32"/>
          <w:szCs w:val="32"/>
          <w:highlight w:val="none"/>
          <w:u w:val="none"/>
        </w:rPr>
        <w:t>人</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同比增加5.44</w:t>
      </w:r>
      <w:r>
        <w:rPr>
          <w:rFonts w:hint="eastAsia" w:ascii="仿宋_GB2312" w:hAnsi="仿宋_GB2312" w:eastAsia="仿宋_GB2312" w:cs="仿宋_GB2312"/>
          <w:color w:val="auto"/>
          <w:sz w:val="32"/>
          <w:szCs w:val="32"/>
          <w:highlight w:val="none"/>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b w:val="0"/>
          <w:bCs w:val="0"/>
          <w:highlight w:val="none"/>
          <w:lang w:val="en-US" w:eastAsia="zh-CN"/>
        </w:rPr>
      </w:pPr>
      <w:r>
        <w:rPr>
          <w:rFonts w:hint="eastAsia" w:ascii="仿宋" w:hAnsi="仿宋" w:eastAsia="仿宋" w:cs="仿宋"/>
          <w:b w:val="0"/>
          <w:bCs w:val="0"/>
          <w:color w:val="auto"/>
          <w:sz w:val="32"/>
          <w:szCs w:val="32"/>
          <w:highlight w:val="none"/>
          <w:lang w:val="en-US" w:eastAsia="zh-CN"/>
        </w:rPr>
        <w:t>1.高等学历继续教育</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default"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lang w:val="en-US" w:eastAsia="zh-CN"/>
        </w:rPr>
        <w:t>2020年共有开放教育在籍生</w:t>
      </w:r>
      <w:r>
        <w:rPr>
          <w:rFonts w:hint="eastAsia" w:ascii="仿宋" w:hAnsi="仿宋" w:eastAsia="仿宋" w:cs="仿宋"/>
          <w:color w:val="auto"/>
          <w:sz w:val="32"/>
          <w:szCs w:val="32"/>
          <w:highlight w:val="none"/>
          <w:u w:val="none"/>
          <w:lang w:val="en-US" w:eastAsia="zh-CN"/>
        </w:rPr>
        <w:t>1641</w:t>
      </w:r>
      <w:r>
        <w:rPr>
          <w:rFonts w:hint="eastAsia" w:ascii="仿宋" w:hAnsi="仿宋" w:eastAsia="仿宋" w:cs="仿宋"/>
          <w:color w:val="auto"/>
          <w:sz w:val="32"/>
          <w:szCs w:val="32"/>
          <w:highlight w:val="none"/>
          <w:lang w:val="en-US" w:eastAsia="zh-CN"/>
        </w:rPr>
        <w:t>人，同比</w:t>
      </w:r>
      <w:r>
        <w:rPr>
          <w:rFonts w:hint="eastAsia" w:ascii="仿宋" w:hAnsi="仿宋" w:eastAsia="仿宋" w:cs="仿宋"/>
          <w:color w:val="auto"/>
          <w:sz w:val="32"/>
          <w:szCs w:val="32"/>
          <w:highlight w:val="none"/>
          <w:u w:val="none"/>
          <w:lang w:val="en-US" w:eastAsia="zh-CN"/>
        </w:rPr>
        <w:t>减少6.17%。其中，本科476人，占比29.01</w:t>
      </w:r>
      <w:r>
        <w:rPr>
          <w:rStyle w:val="7"/>
          <w:rFonts w:ascii="仿宋" w:hAnsi="仿宋" w:eastAsia="仿宋"/>
          <w:color w:val="auto"/>
          <w:sz w:val="28"/>
          <w:szCs w:val="28"/>
          <w:highlight w:val="none"/>
          <w:u w:val="none"/>
          <w:shd w:val="clear" w:color="auto" w:fill="FFFFFF"/>
        </w:rPr>
        <w:t>%</w:t>
      </w:r>
      <w:r>
        <w:rPr>
          <w:rStyle w:val="7"/>
          <w:rFonts w:hint="eastAsia" w:ascii="仿宋" w:hAnsi="仿宋" w:eastAsia="仿宋"/>
          <w:color w:val="auto"/>
          <w:sz w:val="28"/>
          <w:szCs w:val="28"/>
          <w:highlight w:val="none"/>
          <w:u w:val="none"/>
          <w:shd w:val="clear" w:color="auto" w:fill="FFFFFF"/>
          <w:lang w:eastAsia="zh-CN"/>
        </w:rPr>
        <w:t>；</w:t>
      </w:r>
      <w:r>
        <w:rPr>
          <w:rFonts w:hint="eastAsia" w:ascii="仿宋" w:hAnsi="仿宋" w:eastAsia="仿宋" w:cs="仿宋"/>
          <w:color w:val="auto"/>
          <w:sz w:val="32"/>
          <w:szCs w:val="32"/>
          <w:highlight w:val="none"/>
          <w:u w:val="none"/>
          <w:lang w:val="en-US" w:eastAsia="zh-CN"/>
        </w:rPr>
        <w:t>专科1165人，占比70.99</w:t>
      </w:r>
      <w:r>
        <w:rPr>
          <w:rStyle w:val="7"/>
          <w:rFonts w:ascii="仿宋" w:hAnsi="仿宋" w:eastAsia="仿宋"/>
          <w:color w:val="auto"/>
          <w:sz w:val="28"/>
          <w:szCs w:val="28"/>
          <w:highlight w:val="none"/>
          <w:u w:val="none"/>
          <w:shd w:val="clear" w:color="auto" w:fill="FFFFFF"/>
        </w:rPr>
        <w:t>%</w:t>
      </w:r>
      <w:r>
        <w:rPr>
          <w:rFonts w:hint="eastAsia" w:ascii="仿宋" w:hAnsi="仿宋" w:eastAsia="仿宋" w:cs="仿宋"/>
          <w:color w:val="auto"/>
          <w:sz w:val="32"/>
          <w:szCs w:val="32"/>
          <w:highlight w:val="none"/>
          <w:u w:val="none"/>
          <w:lang w:val="en-US" w:eastAsia="zh-CN"/>
        </w:rPr>
        <w:t>。2020年共培养开放教育毕业生698人。其中，本科181人，占比25.93%；专科517人，占比74.07%。学校未开展成人高等专科教育。</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2.</w:t>
      </w:r>
      <w:r>
        <w:rPr>
          <w:rFonts w:hint="eastAsia" w:ascii="仿宋" w:hAnsi="仿宋" w:eastAsia="仿宋" w:cs="仿宋"/>
          <w:color w:val="auto"/>
          <w:sz w:val="32"/>
          <w:szCs w:val="32"/>
          <w:highlight w:val="none"/>
          <w:u w:val="none"/>
          <w:lang w:val="en-US" w:eastAsia="zh-CN"/>
        </w:rPr>
        <w:t>高等职业教育（扩招）</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u w:val="none"/>
          <w:lang w:val="en-US" w:eastAsia="zh-CN"/>
        </w:rPr>
        <w:t>2020年共有高等职业教育（扩招）在校生99人（含2020年招录人数），均为2020年新招。</w:t>
      </w:r>
    </w:p>
    <w:p>
      <w:pPr>
        <w:keepNext w:val="0"/>
        <w:keepLines w:val="0"/>
        <w:pageBreakBefore w:val="0"/>
        <w:widowControl/>
        <w:kinsoku/>
        <w:wordWrap/>
        <w:overflowPunct/>
        <w:topLinePunct w:val="0"/>
        <w:autoSpaceDE/>
        <w:autoSpaceDN/>
        <w:bidi w:val="0"/>
        <w:adjustRightInd w:val="0"/>
        <w:snapToGrid w:val="0"/>
        <w:spacing w:line="576" w:lineRule="exact"/>
        <w:ind w:leftChars="0"/>
        <w:jc w:val="center"/>
        <w:textAlignment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2020年度学历教育</w:t>
      </w:r>
      <w:r>
        <w:rPr>
          <w:rFonts w:hint="eastAsia" w:ascii="仿宋" w:hAnsi="仿宋" w:eastAsia="仿宋" w:cs="仿宋"/>
          <w:color w:val="auto"/>
          <w:kern w:val="0"/>
          <w:sz w:val="28"/>
          <w:szCs w:val="28"/>
          <w:highlight w:val="none"/>
          <w:vertAlign w:val="baseline"/>
          <w:lang w:val="en-US" w:eastAsia="zh-CN"/>
        </w:rPr>
        <w:t>在籍（校）</w:t>
      </w:r>
      <w:r>
        <w:rPr>
          <w:rFonts w:hint="eastAsia" w:ascii="仿宋" w:hAnsi="仿宋" w:eastAsia="仿宋" w:cs="仿宋"/>
          <w:color w:val="auto"/>
          <w:kern w:val="0"/>
          <w:sz w:val="28"/>
          <w:szCs w:val="28"/>
          <w:highlight w:val="none"/>
        </w:rPr>
        <w:t>生人数</w:t>
      </w:r>
    </w:p>
    <w:tbl>
      <w:tblPr>
        <w:tblStyle w:val="5"/>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397"/>
        <w:gridCol w:w="1850"/>
        <w:gridCol w:w="196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层次</w:t>
            </w:r>
          </w:p>
        </w:tc>
        <w:tc>
          <w:tcPr>
            <w:tcW w:w="139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类型</w:t>
            </w:r>
          </w:p>
        </w:tc>
        <w:tc>
          <w:tcPr>
            <w:tcW w:w="185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在籍（校）生人数</w:t>
            </w:r>
          </w:p>
        </w:tc>
        <w:tc>
          <w:tcPr>
            <w:tcW w:w="196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本年度</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招生人数</w:t>
            </w:r>
          </w:p>
        </w:tc>
        <w:tc>
          <w:tcPr>
            <w:tcW w:w="2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本年度</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开放本科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476</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158</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27" w:type="dxa"/>
            <w:vMerge w:val="restart"/>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专科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开放专科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1165</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416</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成人专科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高职扩招</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99</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99</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中专</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成人中专</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合计</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1740</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673</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合计全省排名</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11</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10</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52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11</w:t>
            </w:r>
          </w:p>
        </w:tc>
      </w:tr>
    </w:tbl>
    <w:p>
      <w:pPr>
        <w:keepNext w:val="0"/>
        <w:keepLines w:val="0"/>
        <w:pageBreakBefore w:val="0"/>
        <w:widowControl w:val="0"/>
        <w:numPr>
          <w:ilvl w:val="0"/>
          <w:numId w:val="2"/>
        </w:numPr>
        <w:kinsoku/>
        <w:wordWrap/>
        <w:overflowPunct/>
        <w:topLinePunct w:val="0"/>
        <w:autoSpaceDE/>
        <w:autoSpaceDN/>
        <w:bidi w:val="0"/>
        <w:adjustRightInd w:val="0"/>
        <w:snapToGrid w:val="0"/>
        <w:spacing w:line="576" w:lineRule="exact"/>
        <w:ind w:left="0" w:leftChars="0" w:firstLine="736" w:firstLineChars="23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rPr>
        <w:t>非学历教育</w:t>
      </w:r>
      <w:r>
        <w:rPr>
          <w:rFonts w:hint="eastAsia" w:ascii="楷体" w:hAnsi="楷体" w:eastAsia="楷体" w:cs="楷体"/>
          <w:b w:val="0"/>
          <w:bCs w:val="0"/>
          <w:color w:val="auto"/>
          <w:sz w:val="32"/>
          <w:szCs w:val="32"/>
          <w:highlight w:val="none"/>
          <w:lang w:val="en-US" w:eastAsia="zh-CN"/>
        </w:rPr>
        <w:t>整体培养</w:t>
      </w:r>
      <w:r>
        <w:rPr>
          <w:rFonts w:hint="eastAsia" w:ascii="楷体" w:hAnsi="楷体" w:eastAsia="楷体" w:cs="楷体"/>
          <w:b w:val="0"/>
          <w:bCs w:val="0"/>
          <w:color w:val="auto"/>
          <w:sz w:val="32"/>
          <w:szCs w:val="32"/>
          <w:highlight w:val="none"/>
          <w:lang w:eastAsia="zh-CN"/>
        </w:rPr>
        <w:t>情况</w:t>
      </w:r>
    </w:p>
    <w:p>
      <w:pPr>
        <w:pStyle w:val="2"/>
        <w:keepNext w:val="0"/>
        <w:keepLines w:val="0"/>
        <w:pageBreakBefore w:val="0"/>
        <w:numPr>
          <w:ilvl w:val="0"/>
          <w:numId w:val="0"/>
        </w:numPr>
        <w:kinsoku/>
        <w:wordWrap/>
        <w:overflowPunct/>
        <w:topLinePunct w:val="0"/>
        <w:autoSpaceDE/>
        <w:autoSpaceDN/>
        <w:bidi w:val="0"/>
        <w:spacing w:after="0" w:line="576" w:lineRule="exact"/>
        <w:ind w:firstLine="640" w:firstLineChars="200"/>
        <w:rPr>
          <w:rFonts w:hint="eastAsia" w:ascii="仿宋_GB2312" w:hAnsi="Calibri" w:eastAsia="仿宋_GB2312" w:cs="Times New Roman"/>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eastAsia="zh-CN" w:bidi="ar-SA"/>
        </w:rPr>
        <w:t>学校未开展非学历教育。</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736" w:firstLineChars="230"/>
        <w:jc w:val="both"/>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三）学校</w:t>
      </w:r>
      <w:r>
        <w:rPr>
          <w:rFonts w:hint="eastAsia" w:ascii="楷体" w:hAnsi="楷体" w:eastAsia="楷体" w:cs="楷体"/>
          <w:b w:val="0"/>
          <w:bCs w:val="0"/>
          <w:color w:val="auto"/>
          <w:sz w:val="32"/>
          <w:szCs w:val="32"/>
          <w:highlight w:val="none"/>
          <w:lang w:eastAsia="zh-CN"/>
        </w:rPr>
        <w:t>专业设置情况</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2020年招收开放教育</w:t>
      </w:r>
      <w:r>
        <w:rPr>
          <w:rFonts w:hint="default" w:ascii="仿宋" w:hAnsi="仿宋" w:eastAsia="仿宋" w:cs="仿宋"/>
          <w:color w:val="auto"/>
          <w:sz w:val="32"/>
          <w:szCs w:val="32"/>
          <w:highlight w:val="none"/>
          <w:u w:val="none"/>
          <w:lang w:val="en-US" w:eastAsia="zh-CN"/>
        </w:rPr>
        <w:t>本</w:t>
      </w:r>
      <w:r>
        <w:rPr>
          <w:rFonts w:hint="eastAsia" w:ascii="仿宋" w:hAnsi="仿宋" w:eastAsia="仿宋" w:cs="仿宋"/>
          <w:color w:val="auto"/>
          <w:sz w:val="32"/>
          <w:szCs w:val="32"/>
          <w:highlight w:val="none"/>
          <w:u w:val="none"/>
          <w:lang w:val="en-US" w:eastAsia="zh-CN"/>
        </w:rPr>
        <w:t>、</w:t>
      </w:r>
      <w:r>
        <w:rPr>
          <w:rFonts w:hint="default" w:ascii="仿宋" w:hAnsi="仿宋" w:eastAsia="仿宋" w:cs="仿宋"/>
          <w:color w:val="auto"/>
          <w:sz w:val="32"/>
          <w:szCs w:val="32"/>
          <w:highlight w:val="none"/>
          <w:u w:val="none"/>
          <w:lang w:val="en-US" w:eastAsia="zh-CN"/>
        </w:rPr>
        <w:t>专科</w:t>
      </w:r>
      <w:r>
        <w:rPr>
          <w:rFonts w:hint="eastAsia" w:ascii="仿宋" w:hAnsi="仿宋" w:eastAsia="仿宋" w:cs="仿宋"/>
          <w:color w:val="auto"/>
          <w:sz w:val="32"/>
          <w:szCs w:val="32"/>
          <w:highlight w:val="none"/>
          <w:u w:val="none"/>
          <w:lang w:val="en-US" w:eastAsia="zh-CN"/>
        </w:rPr>
        <w:t>专业共27</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同比增加1个。其中，本科11个，占比40.74%；专科16个，占比59.26%。2020年共招收高等职业教育（扩招）专业2</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1 </w:t>
      </w:r>
      <w:r>
        <w:rPr>
          <w:rFonts w:hint="eastAsia" w:ascii="仿宋" w:hAnsi="仿宋" w:eastAsia="仿宋" w:cs="仿宋"/>
          <w:color w:val="auto"/>
          <w:kern w:val="0"/>
          <w:sz w:val="28"/>
          <w:szCs w:val="28"/>
          <w:highlight w:val="none"/>
          <w:lang w:val="en-US" w:eastAsia="zh-CN" w:bidi="ar-SA"/>
        </w:rPr>
        <w:t>2020年度开放教育招生规模排名前五位的本科专业</w:t>
      </w:r>
    </w:p>
    <w:tbl>
      <w:tblPr>
        <w:tblStyle w:val="5"/>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土木工程</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30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法学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25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工商管理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24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会计学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17</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114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72.15</w:t>
            </w:r>
          </w:p>
        </w:tc>
      </w:tr>
    </w:tbl>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2 </w:t>
      </w:r>
      <w:r>
        <w:rPr>
          <w:rFonts w:hint="eastAsia" w:ascii="仿宋" w:hAnsi="仿宋" w:eastAsia="仿宋" w:cs="仿宋"/>
          <w:color w:val="auto"/>
          <w:kern w:val="0"/>
          <w:sz w:val="28"/>
          <w:szCs w:val="28"/>
          <w:highlight w:val="none"/>
          <w:lang w:val="en-US" w:eastAsia="zh-CN" w:bidi="ar-SA"/>
        </w:rPr>
        <w:t>2020年度开放教育招生规模排名前五位的专科专业</w:t>
      </w:r>
    </w:p>
    <w:tbl>
      <w:tblPr>
        <w:tblStyle w:val="5"/>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工商企业管理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124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29.81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62</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建筑工程技术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45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10.82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法律事务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37</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会计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35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303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000000"/>
                <w:kern w:val="0"/>
                <w:sz w:val="28"/>
                <w:szCs w:val="28"/>
                <w:highlight w:val="none"/>
                <w:u w:val="none"/>
                <w:lang w:val="en-US" w:eastAsia="zh-CN" w:bidi="ar"/>
              </w:rPr>
            </w:pPr>
            <w:r>
              <w:rPr>
                <w:rFonts w:hint="eastAsia" w:ascii="仿宋" w:hAnsi="仿宋" w:eastAsia="仿宋" w:cs="仿宋"/>
                <w:i w:val="0"/>
                <w:color w:val="000000"/>
                <w:kern w:val="0"/>
                <w:sz w:val="28"/>
                <w:szCs w:val="28"/>
                <w:highlight w:val="none"/>
                <w:u w:val="none"/>
                <w:lang w:val="en-US" w:eastAsia="zh-CN" w:bidi="ar"/>
              </w:rPr>
              <w:t>72.84</w:t>
            </w:r>
          </w:p>
        </w:tc>
      </w:tr>
    </w:tbl>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3 </w:t>
      </w:r>
      <w:r>
        <w:rPr>
          <w:rFonts w:hint="eastAsia" w:ascii="仿宋" w:hAnsi="仿宋" w:eastAsia="仿宋" w:cs="仿宋"/>
          <w:color w:val="auto"/>
          <w:kern w:val="0"/>
          <w:sz w:val="28"/>
          <w:szCs w:val="28"/>
          <w:highlight w:val="none"/>
          <w:lang w:val="en-US" w:eastAsia="zh-CN" w:bidi="ar-SA"/>
        </w:rPr>
        <w:t>2020年度高等职业教育（扩招）招收专业</w:t>
      </w:r>
    </w:p>
    <w:tbl>
      <w:tblPr>
        <w:tblStyle w:val="5"/>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2908"/>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会计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41</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电子商务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58</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99</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w:t>
            </w:r>
          </w:p>
        </w:tc>
      </w:tr>
    </w:tbl>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736" w:firstLineChars="23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（四）质量提升综治工程</w:t>
      </w:r>
    </w:p>
    <w:p>
      <w:pPr>
        <w:pStyle w:val="2"/>
        <w:keepNext w:val="0"/>
        <w:keepLines w:val="0"/>
        <w:pageBreakBefore w:val="0"/>
        <w:numPr>
          <w:ilvl w:val="0"/>
          <w:numId w:val="0"/>
        </w:numPr>
        <w:kinsoku/>
        <w:wordWrap/>
        <w:overflowPunct/>
        <w:topLinePunct w:val="0"/>
        <w:autoSpaceDE/>
        <w:autoSpaceDN/>
        <w:bidi w:val="0"/>
        <w:spacing w:after="0" w:line="576" w:lineRule="exact"/>
        <w:ind w:firstLine="640" w:firstLineChars="200"/>
        <w:jc w:val="both"/>
        <w:textAlignment w:val="auto"/>
        <w:rPr>
          <w:rFonts w:hint="eastAsia" w:ascii="仿宋" w:hAnsi="仿宋" w:eastAsia="仿宋" w:cs="宋体"/>
          <w:b w:val="0"/>
          <w:bCs w:val="0"/>
          <w:color w:val="auto"/>
          <w:kern w:val="0"/>
          <w:sz w:val="32"/>
          <w:szCs w:val="32"/>
          <w:highlight w:val="none"/>
          <w:lang w:val="en-US" w:eastAsia="zh-CN"/>
        </w:rPr>
      </w:pPr>
      <w:r>
        <w:rPr>
          <w:rFonts w:hint="eastAsia" w:ascii="仿宋" w:hAnsi="仿宋" w:eastAsia="仿宋" w:cs="宋体"/>
          <w:b w:val="0"/>
          <w:bCs w:val="0"/>
          <w:color w:val="auto"/>
          <w:kern w:val="0"/>
          <w:sz w:val="32"/>
          <w:szCs w:val="32"/>
          <w:highlight w:val="none"/>
          <w:lang w:val="en-US" w:eastAsia="zh-CN"/>
        </w:rPr>
        <w:t>1.质量保障制度</w:t>
      </w:r>
    </w:p>
    <w:p>
      <w:pPr>
        <w:keepNext w:val="0"/>
        <w:keepLines w:val="0"/>
        <w:pageBreakBefore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宋体"/>
          <w:bCs/>
          <w:color w:val="auto"/>
          <w:kern w:val="0"/>
          <w:sz w:val="32"/>
          <w:szCs w:val="32"/>
          <w:highlight w:val="none"/>
          <w:lang w:val="en-US" w:eastAsia="zh-CN" w:bidi="ar-SA"/>
        </w:rPr>
      </w:pPr>
      <w:r>
        <w:rPr>
          <w:rFonts w:hint="eastAsia" w:ascii="仿宋" w:hAnsi="仿宋" w:eastAsia="仿宋" w:cs="宋体"/>
          <w:bCs/>
          <w:color w:val="auto"/>
          <w:kern w:val="0"/>
          <w:sz w:val="32"/>
          <w:szCs w:val="32"/>
          <w:highlight w:val="none"/>
          <w:lang w:val="en-US" w:eastAsia="zh-CN" w:bidi="ar-SA"/>
        </w:rPr>
        <w:t>2020年建立健全校内质量管理制度5项。</w:t>
      </w:r>
    </w:p>
    <w:p>
      <w:pPr>
        <w:keepNext w:val="0"/>
        <w:keepLines w:val="0"/>
        <w:pageBreakBefore w:val="0"/>
        <w:widowControl/>
        <w:kinsoku/>
        <w:wordWrap/>
        <w:overflowPunct/>
        <w:topLinePunct w:val="0"/>
        <w:autoSpaceDE/>
        <w:autoSpaceDN/>
        <w:bidi w:val="0"/>
        <w:adjustRightInd/>
        <w:snapToGrid/>
        <w:spacing w:line="576"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表2-4-1  2020年度重要规章制度建设情况</w:t>
      </w:r>
    </w:p>
    <w:tbl>
      <w:tblPr>
        <w:tblStyle w:val="5"/>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7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序号</w:t>
            </w:r>
          </w:p>
        </w:tc>
        <w:tc>
          <w:tcPr>
            <w:tcW w:w="169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类别</w:t>
            </w:r>
          </w:p>
        </w:tc>
        <w:tc>
          <w:tcPr>
            <w:tcW w:w="587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693"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人事管理</w:t>
            </w:r>
          </w:p>
        </w:tc>
        <w:tc>
          <w:tcPr>
            <w:tcW w:w="5879"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教职工考勤制度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693" w:type="dxa"/>
            <w:vMerge w:val="restart"/>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考试管理</w:t>
            </w:r>
          </w:p>
        </w:tc>
        <w:tc>
          <w:tcPr>
            <w:tcW w:w="5879"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国家开放大学全国统一考试监考人员工作守则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693" w:type="dxa"/>
            <w:vMerge w:val="continue"/>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p>
        </w:tc>
        <w:tc>
          <w:tcPr>
            <w:tcW w:w="5879"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国家开放大学全国统一考试考场纪律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693" w:type="dxa"/>
            <w:vMerge w:val="continue"/>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p>
        </w:tc>
        <w:tc>
          <w:tcPr>
            <w:tcW w:w="5879"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期末考试疫情防控工作方案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693" w:type="dxa"/>
            <w:vMerge w:val="continue"/>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p>
        </w:tc>
        <w:tc>
          <w:tcPr>
            <w:tcW w:w="5879"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期末考试突发事件应急预案</w:t>
            </w:r>
          </w:p>
        </w:tc>
      </w:tr>
    </w:tbl>
    <w:p>
      <w:pPr>
        <w:pStyle w:val="2"/>
        <w:keepNext w:val="0"/>
        <w:keepLines w:val="0"/>
        <w:pageBreakBefore w:val="0"/>
        <w:numPr>
          <w:ilvl w:val="0"/>
          <w:numId w:val="0"/>
        </w:numPr>
        <w:kinsoku/>
        <w:wordWrap/>
        <w:overflowPunct/>
        <w:topLinePunct w:val="0"/>
        <w:autoSpaceDE/>
        <w:autoSpaceDN/>
        <w:bidi w:val="0"/>
        <w:spacing w:after="0" w:line="576" w:lineRule="exact"/>
        <w:ind w:left="0" w:leftChars="0" w:firstLine="640" w:firstLineChars="200"/>
        <w:jc w:val="both"/>
        <w:rPr>
          <w:rFonts w:hint="eastAsia" w:ascii="仿宋" w:hAnsi="仿宋" w:eastAsia="仿宋" w:cs="宋体"/>
          <w:b w:val="0"/>
          <w:bCs/>
          <w:color w:val="auto"/>
          <w:kern w:val="0"/>
          <w:sz w:val="32"/>
          <w:szCs w:val="32"/>
          <w:highlight w:val="none"/>
          <w:lang w:val="en-US" w:eastAsia="zh-CN"/>
        </w:rPr>
      </w:pPr>
      <w:r>
        <w:rPr>
          <w:rFonts w:hint="eastAsia" w:ascii="仿宋" w:hAnsi="仿宋" w:eastAsia="仿宋" w:cs="宋体"/>
          <w:b w:val="0"/>
          <w:bCs/>
          <w:color w:val="auto"/>
          <w:kern w:val="0"/>
          <w:sz w:val="32"/>
          <w:szCs w:val="32"/>
          <w:highlight w:val="none"/>
          <w:lang w:val="en-US" w:eastAsia="zh-CN"/>
        </w:rPr>
        <w:t>2.办学体系和招生管理</w:t>
      </w:r>
    </w:p>
    <w:p>
      <w:pPr>
        <w:pStyle w:val="2"/>
        <w:keepNext w:val="0"/>
        <w:keepLines w:val="0"/>
        <w:pageBreakBefore w:val="0"/>
        <w:numPr>
          <w:ilvl w:val="0"/>
          <w:numId w:val="0"/>
        </w:numPr>
        <w:kinsoku/>
        <w:wordWrap/>
        <w:overflowPunct/>
        <w:topLinePunct w:val="0"/>
        <w:autoSpaceDE/>
        <w:autoSpaceDN/>
        <w:bidi w:val="0"/>
        <w:spacing w:after="0" w:line="576" w:lineRule="exact"/>
        <w:ind w:left="0" w:leftChars="0" w:firstLine="640" w:firstLineChars="200"/>
        <w:jc w:val="both"/>
        <w:rPr>
          <w:rFonts w:hint="default" w:ascii="仿宋" w:hAnsi="仿宋" w:eastAsia="仿宋"/>
          <w:i w:val="0"/>
          <w:iCs w:val="0"/>
          <w:color w:val="auto"/>
          <w:sz w:val="32"/>
          <w:szCs w:val="32"/>
          <w:highlight w:val="none"/>
          <w:u w:val="none"/>
          <w:lang w:val="en-US" w:eastAsia="zh-CN"/>
        </w:rPr>
      </w:pPr>
      <w:r>
        <w:rPr>
          <w:rFonts w:hint="eastAsia" w:ascii="仿宋" w:hAnsi="仿宋" w:eastAsia="仿宋"/>
          <w:i w:val="0"/>
          <w:iCs w:val="0"/>
          <w:color w:val="auto"/>
          <w:sz w:val="32"/>
          <w:szCs w:val="32"/>
          <w:highlight w:val="none"/>
          <w:u w:val="none"/>
          <w:lang w:val="en-US" w:eastAsia="zh-CN"/>
        </w:rPr>
        <w:t>截至2021年1月，仅管辖</w:t>
      </w:r>
      <w:r>
        <w:rPr>
          <w:rFonts w:hint="eastAsia" w:ascii="仿宋" w:hAnsi="仿宋" w:eastAsia="仿宋" w:cs="仿宋"/>
          <w:i w:val="0"/>
          <w:iCs w:val="0"/>
          <w:color w:val="auto"/>
          <w:sz w:val="32"/>
          <w:szCs w:val="32"/>
          <w:highlight w:val="none"/>
          <w:u w:val="none"/>
          <w:lang w:val="en-US" w:eastAsia="zh-CN"/>
        </w:rPr>
        <w:t>1</w:t>
      </w:r>
      <w:r>
        <w:rPr>
          <w:rFonts w:hint="eastAsia" w:ascii="仿宋" w:hAnsi="仿宋" w:eastAsia="仿宋"/>
          <w:i w:val="0"/>
          <w:iCs w:val="0"/>
          <w:color w:val="auto"/>
          <w:sz w:val="32"/>
          <w:szCs w:val="32"/>
          <w:highlight w:val="none"/>
          <w:u w:val="none"/>
          <w:lang w:val="en-US" w:eastAsia="zh-CN"/>
        </w:rPr>
        <w:t>个公办县级教学点。</w:t>
      </w:r>
      <w:r>
        <w:rPr>
          <w:rFonts w:hint="eastAsia" w:ascii="仿宋_GB2312" w:hAnsi="仿宋_GB2312" w:eastAsia="仿宋_GB2312" w:cs="仿宋_GB2312"/>
          <w:sz w:val="32"/>
          <w:szCs w:val="32"/>
          <w:highlight w:val="none"/>
          <w:u w:val="none"/>
          <w:lang w:val="en-US" w:eastAsia="zh-CN"/>
        </w:rPr>
        <w:t>2020年</w:t>
      </w:r>
      <w:r>
        <w:rPr>
          <w:rFonts w:hint="eastAsia" w:ascii="仿宋_GB2312" w:hAnsi="仿宋_GB2312" w:eastAsia="仿宋_GB2312" w:cs="仿宋_GB2312"/>
          <w:sz w:val="32"/>
          <w:szCs w:val="32"/>
          <w:highlight w:val="none"/>
          <w:u w:val="none"/>
          <w:lang w:eastAsia="zh-CN"/>
        </w:rPr>
        <w:t>无</w:t>
      </w:r>
      <w:r>
        <w:rPr>
          <w:rFonts w:hint="eastAsia" w:ascii="仿宋_GB2312" w:hAnsi="仿宋_GB2312" w:eastAsia="仿宋_GB2312" w:cs="仿宋_GB2312"/>
          <w:sz w:val="32"/>
          <w:szCs w:val="32"/>
          <w:highlight w:val="none"/>
          <w:u w:val="none"/>
        </w:rPr>
        <w:t>新增</w:t>
      </w:r>
      <w:r>
        <w:rPr>
          <w:rFonts w:hint="eastAsia" w:ascii="仿宋_GB2312" w:hAnsi="仿宋_GB2312" w:eastAsia="仿宋_GB2312" w:cs="仿宋_GB2312"/>
          <w:sz w:val="32"/>
          <w:szCs w:val="32"/>
          <w:highlight w:val="none"/>
          <w:u w:val="none"/>
          <w:lang w:eastAsia="zh-CN"/>
        </w:rPr>
        <w:t>和</w:t>
      </w:r>
      <w:r>
        <w:rPr>
          <w:rFonts w:hint="eastAsia" w:ascii="仿宋_GB2312" w:hAnsi="仿宋_GB2312" w:eastAsia="仿宋_GB2312" w:cs="仿宋_GB2312"/>
          <w:sz w:val="32"/>
          <w:szCs w:val="32"/>
          <w:highlight w:val="none"/>
          <w:u w:val="none"/>
        </w:rPr>
        <w:t>撤销教学点。</w:t>
      </w:r>
      <w:r>
        <w:rPr>
          <w:rFonts w:hint="eastAsia" w:ascii="仿宋_GB2312" w:hAnsi="仿宋_GB2312" w:eastAsia="仿宋_GB2312" w:cs="仿宋_GB2312"/>
          <w:sz w:val="32"/>
          <w:szCs w:val="32"/>
          <w:highlight w:val="none"/>
          <w:u w:val="none"/>
          <w:lang w:val="en-US" w:eastAsia="zh-CN"/>
        </w:rPr>
        <w:t>2020年县级</w:t>
      </w:r>
      <w:r>
        <w:rPr>
          <w:rFonts w:hint="eastAsia" w:ascii="仿宋" w:hAnsi="仿宋" w:eastAsia="仿宋" w:cs="仿宋"/>
          <w:b w:val="0"/>
          <w:bCs/>
          <w:sz w:val="32"/>
          <w:szCs w:val="32"/>
          <w:highlight w:val="none"/>
        </w:rPr>
        <w:t>教学点</w:t>
      </w:r>
      <w:r>
        <w:rPr>
          <w:rFonts w:hint="eastAsia" w:ascii="仿宋_GB2312" w:hAnsi="仿宋_GB2312" w:eastAsia="仿宋_GB2312" w:cs="仿宋_GB2312"/>
          <w:sz w:val="32"/>
          <w:szCs w:val="32"/>
          <w:highlight w:val="none"/>
          <w:u w:val="none"/>
          <w:lang w:val="en-US" w:eastAsia="zh-CN"/>
        </w:rPr>
        <w:t>2020年</w:t>
      </w:r>
      <w:r>
        <w:rPr>
          <w:rFonts w:hint="eastAsia" w:ascii="仿宋" w:hAnsi="仿宋" w:eastAsia="仿宋"/>
          <w:i w:val="0"/>
          <w:iCs w:val="0"/>
          <w:color w:val="auto"/>
          <w:sz w:val="32"/>
          <w:szCs w:val="32"/>
          <w:highlight w:val="none"/>
          <w:u w:val="none"/>
          <w:lang w:val="en-US" w:eastAsia="zh-CN"/>
        </w:rPr>
        <w:t>招收学生</w:t>
      </w:r>
      <w:r>
        <w:rPr>
          <w:rFonts w:hint="eastAsia" w:ascii="仿宋" w:hAnsi="仿宋" w:eastAsia="仿宋" w:cs="仿宋"/>
          <w:i w:val="0"/>
          <w:iCs w:val="0"/>
          <w:color w:val="auto"/>
          <w:sz w:val="32"/>
          <w:szCs w:val="32"/>
          <w:highlight w:val="none"/>
          <w:u w:val="none"/>
          <w:lang w:val="en-US" w:eastAsia="zh-CN"/>
        </w:rPr>
        <w:t>98</w:t>
      </w:r>
      <w:r>
        <w:rPr>
          <w:rFonts w:hint="eastAsia" w:ascii="仿宋" w:hAnsi="仿宋" w:eastAsia="仿宋"/>
          <w:i w:val="0"/>
          <w:iCs w:val="0"/>
          <w:color w:val="auto"/>
          <w:sz w:val="32"/>
          <w:szCs w:val="32"/>
          <w:highlight w:val="none"/>
          <w:u w:val="none"/>
          <w:lang w:val="en-US" w:eastAsia="zh-CN"/>
        </w:rPr>
        <w:t>人，占</w:t>
      </w:r>
      <w:r>
        <w:rPr>
          <w:rFonts w:hint="eastAsia" w:ascii="仿宋" w:hAnsi="仿宋" w:eastAsia="仿宋" w:cs="仿宋"/>
          <w:b w:val="0"/>
          <w:bCs/>
          <w:sz w:val="32"/>
          <w:szCs w:val="32"/>
          <w:highlight w:val="none"/>
          <w:lang w:val="en-US" w:eastAsia="zh-CN"/>
        </w:rPr>
        <w:t>全市招生的</w:t>
      </w:r>
      <w:r>
        <w:rPr>
          <w:rFonts w:hint="eastAsia" w:ascii="仿宋" w:hAnsi="仿宋" w:eastAsia="仿宋"/>
          <w:i w:val="0"/>
          <w:iCs w:val="0"/>
          <w:color w:val="auto"/>
          <w:sz w:val="32"/>
          <w:szCs w:val="32"/>
          <w:highlight w:val="none"/>
          <w:u w:val="none"/>
          <w:lang w:val="en-US" w:eastAsia="zh-CN"/>
        </w:rPr>
        <w:t>17.07%。</w:t>
      </w:r>
    </w:p>
    <w:p>
      <w:pPr>
        <w:keepNext w:val="0"/>
        <w:keepLines w:val="0"/>
        <w:pageBreakBefore w:val="0"/>
        <w:kinsoku/>
        <w:wordWrap/>
        <w:overflowPunct/>
        <w:topLinePunct w:val="0"/>
        <w:autoSpaceDE/>
        <w:autoSpaceDN/>
        <w:bidi w:val="0"/>
        <w:spacing w:before="0" w:after="0" w:line="576" w:lineRule="exact"/>
        <w:ind w:left="0" w:leftChars="0" w:right="0" w:firstLine="640" w:firstLineChars="200"/>
        <w:jc w:val="both"/>
        <w:rPr>
          <w:rFonts w:hint="eastAsia" w:ascii="仿宋_GB2312" w:eastAsia="仿宋_GB2312" w:cs="Times New Roman"/>
          <w:kern w:val="2"/>
          <w:sz w:val="32"/>
          <w:szCs w:val="32"/>
          <w:highlight w:val="none"/>
          <w:lang w:val="en-US" w:eastAsia="zh-CN" w:bidi="ar-SA"/>
        </w:rPr>
      </w:pPr>
      <w:r>
        <w:rPr>
          <w:rFonts w:hint="eastAsia" w:ascii="仿宋_GB2312" w:eastAsia="仿宋_GB2312" w:cs="Times New Roman"/>
          <w:kern w:val="2"/>
          <w:sz w:val="32"/>
          <w:szCs w:val="32"/>
          <w:highlight w:val="none"/>
          <w:lang w:val="en-US" w:eastAsia="zh-CN" w:bidi="ar-SA"/>
        </w:rPr>
        <w:t>学校县级教学点——贵溪市工作站招生工作停滞不前，一直是影响学校发展的一块“顽疾”。近两年学校领导班子成员带领相关业务科室多次到县级工作站调研，对教学点招生工作进行指导和督查，对教学点提出的要求进行协调，取得了一些效果。在2020年招生工作中，贵溪招生比例略有提高。</w:t>
      </w:r>
    </w:p>
    <w:p>
      <w:pPr>
        <w:keepNext w:val="0"/>
        <w:keepLines w:val="0"/>
        <w:pageBreakBefore w:val="0"/>
        <w:kinsoku/>
        <w:wordWrap/>
        <w:overflowPunct/>
        <w:topLinePunct w:val="0"/>
        <w:autoSpaceDE/>
        <w:autoSpaceDN/>
        <w:bidi w:val="0"/>
        <w:spacing w:before="0" w:after="0" w:line="576" w:lineRule="exact"/>
        <w:ind w:left="0" w:leftChars="0" w:right="0" w:firstLine="640" w:firstLineChars="200"/>
        <w:jc w:val="both"/>
        <w:rPr>
          <w:rFonts w:hint="eastAsia" w:ascii="仿宋" w:hAnsi="仿宋" w:eastAsia="仿宋" w:cs="仿宋"/>
          <w:color w:val="auto"/>
          <w:kern w:val="0"/>
          <w:sz w:val="31"/>
          <w:szCs w:val="31"/>
          <w:highlight w:val="none"/>
          <w:lang w:val="en-US" w:eastAsia="zh-CN" w:bidi="ar"/>
        </w:rPr>
      </w:pPr>
      <w:r>
        <w:rPr>
          <w:rFonts w:hint="eastAsia" w:ascii="仿宋" w:hAnsi="仿宋" w:eastAsia="仿宋" w:cs="仿宋"/>
          <w:b w:val="0"/>
          <w:bCs w:val="0"/>
          <w:color w:val="auto"/>
          <w:sz w:val="32"/>
          <w:szCs w:val="32"/>
          <w:highlight w:val="none"/>
          <w:lang w:val="en-US" w:eastAsia="zh-CN"/>
        </w:rPr>
        <w:t>招生管理工作方面，</w:t>
      </w:r>
      <w:r>
        <w:rPr>
          <w:rFonts w:hint="eastAsia" w:ascii="仿宋_GB2312" w:hAnsi="Calibri" w:eastAsia="仿宋_GB2312" w:cs="Times New Roman"/>
          <w:kern w:val="2"/>
          <w:sz w:val="32"/>
          <w:szCs w:val="32"/>
          <w:highlight w:val="none"/>
          <w:lang w:val="en-US" w:eastAsia="zh-CN" w:bidi="ar-SA"/>
        </w:rPr>
        <w:t>实行</w:t>
      </w:r>
      <w:r>
        <w:rPr>
          <w:rFonts w:hint="eastAsia" w:ascii="仿宋_GB2312" w:hAnsi="Calibri" w:eastAsia="仿宋_GB2312" w:cs="Times New Roman"/>
          <w:kern w:val="2"/>
          <w:sz w:val="32"/>
          <w:szCs w:val="32"/>
          <w:highlight w:val="none"/>
          <w:lang w:val="en-US" w:bidi="ar-SA"/>
        </w:rPr>
        <w:t>招生规模和规范两手抓，制止乱招生、乱设点、乱发文凭等各类招生乱象，拒绝虚假承诺，通过对招生全过程的严格监控管理和招生服务手段的优化，提升招生工作质量和管理水平</w:t>
      </w:r>
      <w:r>
        <w:rPr>
          <w:rFonts w:hint="eastAsia" w:ascii="仿宋" w:hAnsi="仿宋" w:eastAsia="仿宋" w:cs="仿宋"/>
          <w:color w:val="auto"/>
          <w:kern w:val="0"/>
          <w:sz w:val="31"/>
          <w:szCs w:val="31"/>
          <w:highlight w:val="none"/>
          <w:lang w:val="en-US" w:eastAsia="zh-CN" w:bidi="ar"/>
        </w:rPr>
        <w:t>。2020年学校招生工作无违规现象。</w:t>
      </w:r>
    </w:p>
    <w:p>
      <w:pPr>
        <w:pStyle w:val="2"/>
        <w:keepNext w:val="0"/>
        <w:keepLines w:val="0"/>
        <w:pageBreakBefore w:val="0"/>
        <w:numPr>
          <w:ilvl w:val="0"/>
          <w:numId w:val="0"/>
        </w:numPr>
        <w:kinsoku/>
        <w:wordWrap/>
        <w:overflowPunct/>
        <w:topLinePunct w:val="0"/>
        <w:autoSpaceDE/>
        <w:autoSpaceDN/>
        <w:bidi w:val="0"/>
        <w:spacing w:after="0" w:line="576" w:lineRule="exact"/>
        <w:ind w:left="0" w:leftChars="0" w:firstLine="640" w:firstLineChars="200"/>
        <w:jc w:val="both"/>
        <w:rPr>
          <w:rFonts w:hint="eastAsia" w:ascii="黑体" w:hAnsi="黑体" w:eastAsia="黑体" w:cs="黑体"/>
          <w:color w:val="auto"/>
          <w:sz w:val="32"/>
          <w:szCs w:val="32"/>
          <w:highlight w:val="none"/>
          <w:lang w:eastAsia="zh-CN"/>
        </w:rPr>
      </w:pPr>
      <w:r>
        <w:rPr>
          <w:rFonts w:hint="eastAsia" w:ascii="仿宋" w:hAnsi="仿宋" w:eastAsia="仿宋" w:cs="宋体"/>
          <w:b w:val="0"/>
          <w:bCs/>
          <w:color w:val="auto"/>
          <w:kern w:val="0"/>
          <w:sz w:val="32"/>
          <w:szCs w:val="32"/>
          <w:highlight w:val="none"/>
          <w:lang w:val="en-US" w:eastAsia="zh-CN"/>
        </w:rPr>
        <w:t>3.信息化和教学资源建设</w:t>
      </w:r>
    </w:p>
    <w:p>
      <w:pPr>
        <w:pStyle w:val="2"/>
        <w:keepNext w:val="0"/>
        <w:keepLines w:val="0"/>
        <w:pageBreakBefore w:val="0"/>
        <w:numPr>
          <w:ilvl w:val="0"/>
          <w:numId w:val="0"/>
        </w:numPr>
        <w:kinsoku/>
        <w:wordWrap/>
        <w:overflowPunct/>
        <w:topLinePunct w:val="0"/>
        <w:autoSpaceDE/>
        <w:autoSpaceDN/>
        <w:bidi w:val="0"/>
        <w:spacing w:after="0" w:line="576" w:lineRule="exact"/>
        <w:ind w:left="0" w:leftChars="0" w:firstLine="640" w:firstLineChars="200"/>
        <w:jc w:val="both"/>
        <w:rPr>
          <w:rFonts w:hint="eastAsia" w:ascii="黑体" w:hAnsi="黑体" w:eastAsia="黑体" w:cs="黑体"/>
          <w:color w:val="auto"/>
          <w:sz w:val="32"/>
          <w:szCs w:val="32"/>
          <w:highlight w:val="none"/>
          <w:lang w:val="en-US" w:eastAsia="zh-CN"/>
        </w:rPr>
      </w:pPr>
      <w:r>
        <w:rPr>
          <w:rFonts w:hint="eastAsia" w:ascii="仿宋" w:hAnsi="仿宋" w:eastAsia="仿宋" w:cs="宋体"/>
          <w:b w:val="0"/>
          <w:bCs/>
          <w:color w:val="auto"/>
          <w:kern w:val="0"/>
          <w:sz w:val="32"/>
          <w:szCs w:val="32"/>
          <w:highlight w:val="none"/>
          <w:lang w:val="en-US" w:eastAsia="zh-CN"/>
        </w:rPr>
        <w:t>推广和用好国家开放大学教育平台和江西开放大学教育平台，推进网络学习空间运用，拓宽线上教学途径，提升教师和学生的获得感。学校现共有云教师1间，多媒体教室3间，教学用计算机100余台。学校目前使用“钉钉”系统开展移动办公。</w:t>
      </w:r>
    </w:p>
    <w:p>
      <w:pPr>
        <w:pStyle w:val="2"/>
        <w:keepNext w:val="0"/>
        <w:keepLines w:val="0"/>
        <w:pageBreakBefore w:val="0"/>
        <w:numPr>
          <w:ilvl w:val="0"/>
          <w:numId w:val="0"/>
        </w:numPr>
        <w:kinsoku/>
        <w:wordWrap/>
        <w:overflowPunct/>
        <w:topLinePunct w:val="0"/>
        <w:autoSpaceDE/>
        <w:autoSpaceDN/>
        <w:bidi w:val="0"/>
        <w:spacing w:after="0" w:line="576" w:lineRule="exact"/>
        <w:ind w:left="0" w:leftChars="0" w:firstLine="640" w:firstLineChars="200"/>
        <w:jc w:val="both"/>
        <w:rPr>
          <w:rFonts w:hint="default" w:ascii="仿宋" w:hAnsi="仿宋" w:eastAsia="仿宋" w:cs="宋体"/>
          <w:b w:val="0"/>
          <w:bCs/>
          <w:color w:val="auto"/>
          <w:kern w:val="0"/>
          <w:sz w:val="32"/>
          <w:szCs w:val="32"/>
          <w:highlight w:val="none"/>
          <w:lang w:val="en-US" w:eastAsia="zh-CN"/>
        </w:rPr>
      </w:pPr>
      <w:r>
        <w:rPr>
          <w:rFonts w:hint="eastAsia" w:ascii="仿宋" w:hAnsi="仿宋" w:eastAsia="仿宋" w:cs="宋体"/>
          <w:b w:val="0"/>
          <w:bCs/>
          <w:color w:val="auto"/>
          <w:kern w:val="0"/>
          <w:sz w:val="32"/>
          <w:szCs w:val="32"/>
          <w:highlight w:val="none"/>
          <w:lang w:val="en-US" w:eastAsia="zh-CN"/>
        </w:rPr>
        <w:t>4.学习支持服务和教学过程</w:t>
      </w:r>
    </w:p>
    <w:p>
      <w:pPr>
        <w:keepNext w:val="0"/>
        <w:keepLines w:val="0"/>
        <w:pageBreakBefore w:val="0"/>
        <w:numPr>
          <w:ilvl w:val="0"/>
          <w:numId w:val="3"/>
        </w:numPr>
        <w:kinsoku/>
        <w:wordWrap/>
        <w:overflowPunct/>
        <w:topLinePunct w:val="0"/>
        <w:autoSpaceDE/>
        <w:autoSpaceDN/>
        <w:bidi w:val="0"/>
        <w:spacing w:line="576" w:lineRule="exact"/>
        <w:ind w:left="0" w:leftChars="0" w:firstLine="524" w:firstLineChars="164"/>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在给学生分配班主任时，打破原本的本专科限制，根据教师专业所长，分配相关专业学生，以达到最佳的专业指导目的。</w:t>
      </w:r>
    </w:p>
    <w:p>
      <w:pPr>
        <w:keepNext w:val="0"/>
        <w:keepLines w:val="0"/>
        <w:pageBreakBefore w:val="0"/>
        <w:numPr>
          <w:ilvl w:val="0"/>
          <w:numId w:val="3"/>
        </w:numPr>
        <w:kinsoku/>
        <w:wordWrap/>
        <w:overflowPunct/>
        <w:topLinePunct w:val="0"/>
        <w:autoSpaceDE/>
        <w:autoSpaceDN/>
        <w:bidi w:val="0"/>
        <w:spacing w:line="576" w:lineRule="exact"/>
        <w:ind w:left="0" w:leftChars="0" w:firstLine="524" w:firstLineChars="164"/>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lang w:eastAsia="zh-CN"/>
        </w:rPr>
        <w:t>确保班主任</w:t>
      </w:r>
      <w:r>
        <w:rPr>
          <w:rFonts w:hint="eastAsia" w:ascii="仿宋_GB2312" w:hAnsi="仿宋" w:eastAsia="仿宋_GB2312" w:cs="仿宋_GB2312"/>
          <w:sz w:val="32"/>
          <w:szCs w:val="32"/>
          <w:highlight w:val="none"/>
        </w:rPr>
        <w:t>建立班级微信群和班级QQ群，上传学生需要的资料，并和学生展开</w:t>
      </w:r>
      <w:r>
        <w:rPr>
          <w:rFonts w:hint="eastAsia" w:ascii="仿宋_GB2312" w:hAnsi="仿宋" w:eastAsia="仿宋_GB2312" w:cs="仿宋_GB2312"/>
          <w:sz w:val="32"/>
          <w:szCs w:val="32"/>
          <w:highlight w:val="none"/>
          <w:lang w:eastAsia="zh-CN"/>
        </w:rPr>
        <w:t>实时</w:t>
      </w:r>
      <w:r>
        <w:rPr>
          <w:rFonts w:hint="eastAsia" w:ascii="仿宋_GB2312" w:hAnsi="仿宋" w:eastAsia="仿宋_GB2312" w:cs="仿宋_GB2312"/>
          <w:sz w:val="32"/>
          <w:szCs w:val="32"/>
          <w:highlight w:val="none"/>
        </w:rPr>
        <w:t>交流互动，进一步了解学生学习动态。</w:t>
      </w:r>
    </w:p>
    <w:p>
      <w:pPr>
        <w:keepNext w:val="0"/>
        <w:keepLines w:val="0"/>
        <w:pageBreakBefore w:val="0"/>
        <w:numPr>
          <w:ilvl w:val="0"/>
          <w:numId w:val="3"/>
        </w:numPr>
        <w:kinsoku/>
        <w:wordWrap/>
        <w:overflowPunct/>
        <w:topLinePunct w:val="0"/>
        <w:autoSpaceDE/>
        <w:autoSpaceDN/>
        <w:bidi w:val="0"/>
        <w:spacing w:line="576" w:lineRule="exact"/>
        <w:ind w:left="0" w:leftChars="0" w:firstLine="524" w:firstLineChars="164"/>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强化答疑沟通。除了</w:t>
      </w:r>
      <w:r>
        <w:rPr>
          <w:rFonts w:hint="eastAsia" w:ascii="仿宋_GB2312" w:hAnsi="仿宋" w:eastAsia="仿宋_GB2312" w:cs="仿宋_GB2312"/>
          <w:sz w:val="32"/>
          <w:szCs w:val="32"/>
          <w:highlight w:val="none"/>
          <w:lang w:eastAsia="zh-CN"/>
        </w:rPr>
        <w:t>线上指导</w:t>
      </w:r>
      <w:r>
        <w:rPr>
          <w:rFonts w:hint="eastAsia" w:ascii="仿宋_GB2312" w:hAnsi="仿宋" w:eastAsia="仿宋_GB2312" w:cs="仿宋_GB2312"/>
          <w:sz w:val="32"/>
          <w:szCs w:val="32"/>
          <w:highlight w:val="none"/>
        </w:rPr>
        <w:t>，</w:t>
      </w:r>
      <w:r>
        <w:rPr>
          <w:rFonts w:hint="eastAsia" w:ascii="仿宋_GB2312" w:hAnsi="仿宋" w:eastAsia="仿宋_GB2312" w:cs="仿宋_GB2312"/>
          <w:sz w:val="32"/>
          <w:szCs w:val="32"/>
          <w:highlight w:val="none"/>
          <w:lang w:eastAsia="zh-CN"/>
        </w:rPr>
        <w:t>要求</w:t>
      </w:r>
      <w:r>
        <w:rPr>
          <w:rFonts w:hint="eastAsia" w:ascii="仿宋_GB2312" w:hAnsi="仿宋" w:eastAsia="仿宋_GB2312" w:cs="仿宋_GB2312"/>
          <w:sz w:val="32"/>
          <w:szCs w:val="32"/>
          <w:highlight w:val="none"/>
        </w:rPr>
        <w:t>班主任更多地通过电话和学生交流，一方面保证教学通知能到学生个人，另一方面增进师生感情。</w:t>
      </w:r>
    </w:p>
    <w:p>
      <w:pPr>
        <w:pStyle w:val="8"/>
        <w:keepNext w:val="0"/>
        <w:keepLines w:val="0"/>
        <w:pageBreakBefore w:val="0"/>
        <w:widowControl/>
        <w:numPr>
          <w:ilvl w:val="0"/>
          <w:numId w:val="0"/>
        </w:numPr>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2-4-4-1 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rPr>
        <w:t>学习网教学基本情况</w:t>
      </w:r>
    </w:p>
    <w:tbl>
      <w:tblPr>
        <w:tblStyle w:val="5"/>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51.82</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87.75</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115.38</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53.83</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94.88</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47.5</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r>
    </w:tbl>
    <w:p>
      <w:pPr>
        <w:pStyle w:val="8"/>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both"/>
        <w:textAlignment w:val="center"/>
        <w:rPr>
          <w:rFonts w:hint="eastAsia" w:ascii="仿宋" w:hAnsi="仿宋" w:eastAsia="仿宋" w:cs="仿宋"/>
          <w:color w:val="auto"/>
          <w:kern w:val="0"/>
          <w:sz w:val="28"/>
          <w:szCs w:val="28"/>
          <w:highlight w:val="none"/>
          <w:lang w:val="en-US" w:eastAsia="zh-CN"/>
        </w:rPr>
      </w:pPr>
    </w:p>
    <w:p>
      <w:pPr>
        <w:pStyle w:val="8"/>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4-4-2</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rPr>
        <w:t>学习网教学支持服务情况</w:t>
      </w:r>
    </w:p>
    <w:tbl>
      <w:tblPr>
        <w:tblStyle w:val="4"/>
        <w:tblW w:w="8175" w:type="dxa"/>
        <w:jc w:val="center"/>
        <w:shd w:val="clear" w:color="auto" w:fill="auto"/>
        <w:tblLayout w:type="fixed"/>
        <w:tblCellMar>
          <w:top w:w="0" w:type="dxa"/>
          <w:left w:w="0" w:type="dxa"/>
          <w:bottom w:w="0" w:type="dxa"/>
          <w:right w:w="0" w:type="dxa"/>
        </w:tblCellMar>
      </w:tblPr>
      <w:tblGrid>
        <w:gridCol w:w="1225"/>
        <w:gridCol w:w="1200"/>
        <w:gridCol w:w="1084"/>
        <w:gridCol w:w="1128"/>
        <w:gridCol w:w="1138"/>
        <w:gridCol w:w="1017"/>
        <w:gridCol w:w="1383"/>
      </w:tblGrid>
      <w:tr>
        <w:tblPrEx>
          <w:shd w:val="clear" w:color="auto" w:fill="auto"/>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12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学生人均在线行为次数</w:t>
            </w:r>
          </w:p>
        </w:tc>
        <w:tc>
          <w:tcPr>
            <w:tcW w:w="113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教师人均在线行为次数</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2935770</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13324</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2328.13</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66586</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478</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1479.69</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2907475</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13337</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2148.91</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38603</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383</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2031.74</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r>
    </w:tbl>
    <w:p>
      <w:pPr>
        <w:pStyle w:val="8"/>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both"/>
        <w:textAlignment w:val="center"/>
        <w:rPr>
          <w:rFonts w:hint="eastAsia" w:ascii="仿宋" w:hAnsi="仿宋" w:eastAsia="仿宋" w:cs="仿宋"/>
          <w:color w:val="auto"/>
          <w:kern w:val="0"/>
          <w:sz w:val="28"/>
          <w:szCs w:val="28"/>
          <w:highlight w:val="none"/>
          <w:lang w:val="en-US" w:eastAsia="zh-CN"/>
        </w:rPr>
      </w:pPr>
    </w:p>
    <w:p>
      <w:pPr>
        <w:pStyle w:val="8"/>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表2-4-4-3 2020年度开放教育面授教学基本情况</w:t>
      </w:r>
    </w:p>
    <w:tbl>
      <w:tblPr>
        <w:tblStyle w:val="5"/>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61"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219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面授辅导课次</w:t>
            </w:r>
          </w:p>
        </w:tc>
        <w:tc>
          <w:tcPr>
            <w:tcW w:w="274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1"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春</w:t>
            </w:r>
          </w:p>
        </w:tc>
        <w:tc>
          <w:tcPr>
            <w:tcW w:w="4937" w:type="dxa"/>
            <w:gridSpan w:val="2"/>
            <w:vMerge w:val="restart"/>
            <w:vAlign w:val="center"/>
          </w:tcPr>
          <w:p>
            <w:pPr>
              <w:widowControl/>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因疫情原因，2020年未开展面授辅导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1"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秋</w:t>
            </w:r>
          </w:p>
        </w:tc>
        <w:tc>
          <w:tcPr>
            <w:tcW w:w="4937" w:type="dxa"/>
            <w:gridSpan w:val="2"/>
            <w:vMerge w:val="continue"/>
            <w:vAlign w:val="center"/>
          </w:tcPr>
          <w:p>
            <w:pPr>
              <w:widowControl/>
              <w:spacing w:line="520" w:lineRule="exact"/>
              <w:jc w:val="center"/>
              <w:rPr>
                <w:rFonts w:hint="eastAsia" w:ascii="仿宋" w:hAnsi="仿宋" w:eastAsia="仿宋" w:cs="仿宋"/>
                <w:color w:val="auto"/>
                <w:kern w:val="2"/>
                <w:sz w:val="28"/>
                <w:szCs w:val="28"/>
                <w:highlight w:val="none"/>
                <w:lang w:val="en-US" w:eastAsia="zh-CN" w:bidi="ar-SA"/>
              </w:rPr>
            </w:pPr>
          </w:p>
        </w:tc>
      </w:tr>
    </w:tbl>
    <w:p>
      <w:pPr>
        <w:pStyle w:val="8"/>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表2-4-4-4 2020年度开放教育实践教学情况</w:t>
      </w:r>
    </w:p>
    <w:tbl>
      <w:tblPr>
        <w:tblStyle w:val="5"/>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25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实践基地新增数量</w:t>
            </w:r>
          </w:p>
        </w:tc>
        <w:tc>
          <w:tcPr>
            <w:tcW w:w="2486"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实践基地总数</w:t>
            </w:r>
          </w:p>
        </w:tc>
        <w:tc>
          <w:tcPr>
            <w:tcW w:w="25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春</w:t>
            </w:r>
          </w:p>
        </w:tc>
        <w:tc>
          <w:tcPr>
            <w:tcW w:w="2574"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0</w:t>
            </w:r>
          </w:p>
        </w:tc>
        <w:tc>
          <w:tcPr>
            <w:tcW w:w="2486"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2517"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秋</w:t>
            </w:r>
          </w:p>
        </w:tc>
        <w:tc>
          <w:tcPr>
            <w:tcW w:w="2574"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0</w:t>
            </w:r>
          </w:p>
        </w:tc>
        <w:tc>
          <w:tcPr>
            <w:tcW w:w="2486"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2517"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p>
        </w:tc>
      </w:tr>
    </w:tbl>
    <w:p>
      <w:pPr>
        <w:pStyle w:val="2"/>
        <w:keepNext w:val="0"/>
        <w:keepLines w:val="0"/>
        <w:pageBreakBefore w:val="0"/>
        <w:numPr>
          <w:ilvl w:val="0"/>
          <w:numId w:val="0"/>
        </w:numPr>
        <w:kinsoku/>
        <w:wordWrap/>
        <w:overflowPunct/>
        <w:topLinePunct w:val="0"/>
        <w:autoSpaceDE/>
        <w:autoSpaceDN/>
        <w:bidi w:val="0"/>
        <w:spacing w:after="0" w:line="576" w:lineRule="exact"/>
        <w:ind w:firstLine="640" w:firstLineChars="200"/>
        <w:jc w:val="both"/>
        <w:rPr>
          <w:rFonts w:hint="default" w:ascii="仿宋" w:hAnsi="仿宋" w:eastAsia="仿宋" w:cs="宋体"/>
          <w:b w:val="0"/>
          <w:bCs/>
          <w:color w:val="auto"/>
          <w:kern w:val="0"/>
          <w:sz w:val="32"/>
          <w:szCs w:val="32"/>
          <w:highlight w:val="none"/>
          <w:lang w:val="en-US" w:eastAsia="zh-CN"/>
        </w:rPr>
      </w:pPr>
      <w:r>
        <w:rPr>
          <w:rFonts w:hint="eastAsia" w:ascii="仿宋" w:hAnsi="仿宋" w:eastAsia="仿宋" w:cs="宋体"/>
          <w:b w:val="0"/>
          <w:bCs/>
          <w:color w:val="auto"/>
          <w:kern w:val="0"/>
          <w:sz w:val="32"/>
          <w:szCs w:val="32"/>
          <w:highlight w:val="none"/>
          <w:lang w:val="en-US" w:eastAsia="zh-CN"/>
        </w:rPr>
        <w:t>5.考试组织情况</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根据国家开放大学和省校的统一部署，落实“治考”要求，进一步强化责任意识、规范意识、风险意识，规范考试工作情况，2020秋季期末考试前夕，召开专题党组会研究通过《监考人员工作守则》《考场纪律》《期末考试疫情防控工作方案》《期末考试突发事件应急预案》，明确试卷保管专人值守，确保达到从严治考。</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 xml:space="preserve">表2-4-5 </w:t>
      </w:r>
      <w:r>
        <w:rPr>
          <w:rFonts w:hint="eastAsia" w:ascii="仿宋" w:hAnsi="仿宋" w:eastAsia="仿宋" w:cs="仿宋"/>
          <w:color w:val="auto"/>
          <w:kern w:val="0"/>
          <w:sz w:val="28"/>
          <w:szCs w:val="28"/>
          <w:highlight w:val="none"/>
          <w:lang w:val="en-US" w:eastAsia="zh-CN"/>
        </w:rPr>
        <w:t>2020年度</w:t>
      </w:r>
      <w:r>
        <w:rPr>
          <w:rFonts w:hint="eastAsia" w:ascii="仿宋" w:hAnsi="仿宋" w:eastAsia="仿宋" w:cs="仿宋"/>
          <w:color w:val="auto"/>
          <w:kern w:val="0"/>
          <w:sz w:val="28"/>
          <w:szCs w:val="28"/>
          <w:highlight w:val="none"/>
          <w:lang w:val="en-US" w:eastAsia="zh-CN" w:bidi="ar-SA"/>
        </w:rPr>
        <w:t>开放教育考试情况</w:t>
      </w:r>
    </w:p>
    <w:tbl>
      <w:tblPr>
        <w:tblStyle w:val="5"/>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63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实考人数</w:t>
            </w:r>
          </w:p>
        </w:tc>
        <w:tc>
          <w:tcPr>
            <w:tcW w:w="17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实考率</w:t>
            </w:r>
          </w:p>
        </w:tc>
        <w:tc>
          <w:tcPr>
            <w:tcW w:w="178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合格人数</w:t>
            </w:r>
          </w:p>
        </w:tc>
        <w:tc>
          <w:tcPr>
            <w:tcW w:w="17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63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8428</w:t>
            </w:r>
          </w:p>
        </w:tc>
        <w:tc>
          <w:tcPr>
            <w:tcW w:w="17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92.15 </w:t>
            </w:r>
          </w:p>
        </w:tc>
        <w:tc>
          <w:tcPr>
            <w:tcW w:w="178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7334</w:t>
            </w:r>
          </w:p>
        </w:tc>
        <w:tc>
          <w:tcPr>
            <w:tcW w:w="17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87.02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63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8059</w:t>
            </w:r>
          </w:p>
        </w:tc>
        <w:tc>
          <w:tcPr>
            <w:tcW w:w="17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87.81 </w:t>
            </w:r>
          </w:p>
        </w:tc>
        <w:tc>
          <w:tcPr>
            <w:tcW w:w="178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6971</w:t>
            </w:r>
          </w:p>
        </w:tc>
        <w:tc>
          <w:tcPr>
            <w:tcW w:w="17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86.50 </w:t>
            </w:r>
          </w:p>
        </w:tc>
      </w:tr>
    </w:tbl>
    <w:p>
      <w:pPr>
        <w:pStyle w:val="2"/>
        <w:keepNext w:val="0"/>
        <w:keepLines w:val="0"/>
        <w:pageBreakBefore w:val="0"/>
        <w:numPr>
          <w:ilvl w:val="0"/>
          <w:numId w:val="0"/>
        </w:numPr>
        <w:kinsoku/>
        <w:wordWrap/>
        <w:overflowPunct/>
        <w:topLinePunct w:val="0"/>
        <w:autoSpaceDE/>
        <w:autoSpaceDN/>
        <w:bidi w:val="0"/>
        <w:spacing w:after="0" w:line="600" w:lineRule="exact"/>
        <w:ind w:firstLine="640" w:firstLineChars="200"/>
        <w:jc w:val="both"/>
        <w:rPr>
          <w:rFonts w:hint="eastAsia" w:ascii="仿宋" w:hAnsi="仿宋" w:eastAsia="仿宋" w:cs="宋体"/>
          <w:b w:val="0"/>
          <w:bCs/>
          <w:color w:val="auto"/>
          <w:kern w:val="0"/>
          <w:sz w:val="32"/>
          <w:szCs w:val="32"/>
          <w:highlight w:val="none"/>
          <w:lang w:val="en-US" w:eastAsia="zh-CN"/>
        </w:rPr>
      </w:pPr>
      <w:r>
        <w:rPr>
          <w:rFonts w:hint="eastAsia" w:ascii="仿宋" w:hAnsi="仿宋" w:eastAsia="仿宋" w:cs="宋体"/>
          <w:b w:val="0"/>
          <w:bCs/>
          <w:color w:val="auto"/>
          <w:kern w:val="0"/>
          <w:sz w:val="32"/>
          <w:szCs w:val="32"/>
          <w:highlight w:val="none"/>
          <w:lang w:val="en-US" w:eastAsia="zh-CN"/>
        </w:rPr>
        <w:t>6.教学检查结果</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eastAsia" w:ascii="仿宋" w:hAnsi="仿宋" w:eastAsia="仿宋" w:cs="宋体"/>
          <w:b/>
          <w:bCs w:val="0"/>
          <w:color w:val="auto"/>
          <w:kern w:val="0"/>
          <w:sz w:val="32"/>
          <w:szCs w:val="32"/>
          <w:highlight w:val="none"/>
          <w:lang w:val="en-US" w:eastAsia="zh-CN"/>
        </w:rPr>
      </w:pPr>
      <w:r>
        <w:rPr>
          <w:rFonts w:hint="eastAsia" w:ascii="仿宋" w:hAnsi="仿宋" w:eastAsia="仿宋" w:cs="仿宋"/>
          <w:color w:val="auto"/>
          <w:kern w:val="0"/>
          <w:sz w:val="28"/>
          <w:szCs w:val="28"/>
          <w:highlight w:val="none"/>
          <w:lang w:val="en-US" w:eastAsia="zh-CN" w:bidi="ar-SA"/>
        </w:rPr>
        <w:t>表2-4-6 2020年度国开学习网教学检查排名</w:t>
      </w:r>
    </w:p>
    <w:tbl>
      <w:tblPr>
        <w:tblStyle w:val="5"/>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2020春季总分</w:t>
            </w:r>
          </w:p>
        </w:tc>
        <w:tc>
          <w:tcPr>
            <w:tcW w:w="218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2020春季排名</w:t>
            </w:r>
          </w:p>
        </w:tc>
        <w:tc>
          <w:tcPr>
            <w:tcW w:w="201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2020秋季总分</w:t>
            </w:r>
          </w:p>
        </w:tc>
        <w:tc>
          <w:tcPr>
            <w:tcW w:w="21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60.5308861</w:t>
            </w:r>
          </w:p>
        </w:tc>
        <w:tc>
          <w:tcPr>
            <w:tcW w:w="218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201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72.54271539</w:t>
            </w:r>
          </w:p>
        </w:tc>
        <w:tc>
          <w:tcPr>
            <w:tcW w:w="212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keepNext w:val="0"/>
        <w:keepLines w:val="0"/>
        <w:pageBreakBefore w:val="0"/>
        <w:widowControl w:val="0"/>
        <w:numPr>
          <w:ilvl w:val="0"/>
          <w:numId w:val="4"/>
        </w:numPr>
        <w:kinsoku/>
        <w:wordWrap/>
        <w:overflowPunct/>
        <w:topLinePunct w:val="0"/>
        <w:autoSpaceDE/>
        <w:autoSpaceDN/>
        <w:bidi w:val="0"/>
        <w:adjustRightInd w:val="0"/>
        <w:snapToGrid w:val="0"/>
        <w:spacing w:line="576" w:lineRule="exact"/>
        <w:ind w:firstLine="640" w:firstLineChars="200"/>
        <w:jc w:val="both"/>
        <w:textAlignment w:val="auto"/>
        <w:rPr>
          <w:rFonts w:hint="eastAsia" w:ascii="楷体" w:hAnsi="楷体" w:eastAsia="楷体" w:cs="楷体"/>
          <w:b w:val="0"/>
          <w:bCs w:val="0"/>
          <w:color w:val="auto"/>
          <w:kern w:val="0"/>
          <w:sz w:val="32"/>
          <w:szCs w:val="32"/>
          <w:highlight w:val="none"/>
          <w:lang w:val="en-US" w:eastAsia="zh-CN" w:bidi="ar-SA"/>
        </w:rPr>
      </w:pPr>
      <w:r>
        <w:rPr>
          <w:rFonts w:hint="eastAsia" w:ascii="楷体" w:hAnsi="楷体" w:eastAsia="楷体" w:cs="楷体"/>
          <w:b w:val="0"/>
          <w:bCs w:val="0"/>
          <w:color w:val="auto"/>
          <w:kern w:val="0"/>
          <w:sz w:val="32"/>
          <w:szCs w:val="32"/>
          <w:highlight w:val="none"/>
          <w:lang w:val="en-US" w:eastAsia="zh-CN" w:bidi="ar-SA"/>
        </w:rPr>
        <w:t>思政教育和学生工作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从政治意识和历史文化两个维度培养学生的“大思政”学习理念，使用“1+4+X”的整合方案。“1”是国家开放大学的特色课程，“4”是教育部规定的4门思政课程，“X”是中国优秀传统文化、民族理论与民族政策。</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firstLine="640" w:firstLineChars="200"/>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积极参加国家开放大学和省校组织的奖学金、优秀毕业生、优秀学员的推荐工作。2020年，根据省校下达的计划，评选出“2019年度国家开放大学奖学金”5人，“2019年度国家开放大学‘希望的田野’奖学金”1人，“2019年度国家开放大学优秀毕业生”1人，并将评选结果在本市主要媒体和互联网上进行了宣传报道。</w:t>
      </w:r>
    </w:p>
    <w:p>
      <w:pPr>
        <w:pStyle w:val="2"/>
        <w:keepNext w:val="0"/>
        <w:keepLines w:val="0"/>
        <w:pageBreakBefore w:val="0"/>
        <w:widowControl w:val="0"/>
        <w:numPr>
          <w:ilvl w:val="0"/>
          <w:numId w:val="5"/>
        </w:numPr>
        <w:kinsoku/>
        <w:wordWrap/>
        <w:overflowPunct/>
        <w:topLinePunct w:val="0"/>
        <w:autoSpaceDE/>
        <w:autoSpaceDN/>
        <w:bidi w:val="0"/>
        <w:adjustRightInd/>
        <w:snapToGrid/>
        <w:spacing w:after="0" w:line="576" w:lineRule="exact"/>
        <w:ind w:left="0" w:firstLine="640" w:firstLineChars="200"/>
        <w:jc w:val="both"/>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办学条件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left="0" w:leftChars="0" w:firstLine="640" w:firstLineChars="20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（一）办学场地与设施</w:t>
      </w:r>
    </w:p>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_GB2312" w:hAnsi="宋体" w:eastAsia="仿宋_GB2312"/>
          <w:sz w:val="32"/>
          <w:szCs w:val="32"/>
          <w:highlight w:val="none"/>
          <w:lang w:eastAsia="zh-CN"/>
        </w:rPr>
        <w:t>学校</w:t>
      </w:r>
      <w:r>
        <w:rPr>
          <w:rFonts w:hint="eastAsia" w:ascii="仿宋_GB2312" w:hAnsi="宋体" w:eastAsia="仿宋_GB2312"/>
          <w:sz w:val="32"/>
          <w:szCs w:val="32"/>
          <w:highlight w:val="none"/>
        </w:rPr>
        <w:t>位于胜利东路93号和湖西路40号，被胜利东路分隔成南北楼。北楼占地面积3.4亩，建筑面积3068平方米，于1999年建成；南楼建筑面积2132平方米，于1992购买</w:t>
      </w:r>
      <w:r>
        <w:rPr>
          <w:rFonts w:hint="eastAsia" w:ascii="仿宋" w:hAnsi="仿宋" w:eastAsia="仿宋" w:cs="仿宋"/>
          <w:b w:val="0"/>
          <w:bCs w:val="0"/>
          <w:color w:val="auto"/>
          <w:kern w:val="2"/>
          <w:sz w:val="32"/>
          <w:szCs w:val="32"/>
          <w:highlight w:val="none"/>
          <w:lang w:val="en-US" w:eastAsia="zh-CN" w:bidi="ar-SA"/>
        </w:rPr>
        <w:t>。</w:t>
      </w:r>
    </w:p>
    <w:p>
      <w:pPr>
        <w:keepNext w:val="0"/>
        <w:keepLines w:val="0"/>
        <w:pageBreakBefore w:val="0"/>
        <w:widowControl/>
        <w:kinsoku/>
        <w:wordWrap/>
        <w:overflowPunct/>
        <w:topLinePunct w:val="0"/>
        <w:autoSpaceDE/>
        <w:autoSpaceDN/>
        <w:bidi w:val="0"/>
        <w:adjustRightInd w:val="0"/>
        <w:snapToGrid w:val="0"/>
        <w:spacing w:line="576" w:lineRule="exact"/>
        <w:ind w:left="0"/>
        <w:jc w:val="center"/>
        <w:textAlignment w:val="center"/>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color w:val="auto"/>
          <w:kern w:val="0"/>
          <w:sz w:val="28"/>
          <w:szCs w:val="28"/>
          <w:highlight w:val="none"/>
          <w:lang w:val="en-US" w:eastAsia="zh-CN"/>
        </w:rPr>
        <w:t>表3-1 2020年度办学场地与设施</w:t>
      </w:r>
    </w:p>
    <w:tbl>
      <w:tblPr>
        <w:tblStyle w:val="5"/>
        <w:tblW w:w="8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1144"/>
        <w:gridCol w:w="1090"/>
        <w:gridCol w:w="828"/>
        <w:gridCol w:w="828"/>
        <w:gridCol w:w="828"/>
        <w:gridCol w:w="828"/>
        <w:gridCol w:w="828"/>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p>
        </w:tc>
        <w:tc>
          <w:tcPr>
            <w:tcW w:w="1144"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办学场地面积（亩）</w:t>
            </w:r>
          </w:p>
        </w:tc>
        <w:tc>
          <w:tcPr>
            <w:tcW w:w="1090"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办学用房面积（平方米）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办学用房生均面积（平方米）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能容纳</w:t>
            </w:r>
            <w:r>
              <w:rPr>
                <w:rFonts w:hint="eastAsia" w:ascii="仿宋" w:hAnsi="仿宋" w:eastAsia="仿宋" w:cs="仿宋"/>
                <w:b w:val="0"/>
                <w:bCs w:val="0"/>
                <w:color w:val="auto"/>
                <w:kern w:val="2"/>
                <w:sz w:val="28"/>
                <w:szCs w:val="28"/>
                <w:highlight w:val="none"/>
                <w:u w:val="single"/>
                <w:lang w:val="en-US" w:eastAsia="zh-CN" w:bidi="ar-SA"/>
              </w:rPr>
              <w:t>30</w:t>
            </w:r>
            <w:r>
              <w:rPr>
                <w:rFonts w:hint="eastAsia" w:ascii="仿宋" w:hAnsi="仿宋" w:eastAsia="仿宋" w:cs="仿宋"/>
                <w:b w:val="0"/>
                <w:bCs w:val="0"/>
                <w:color w:val="auto"/>
                <w:kern w:val="2"/>
                <w:sz w:val="28"/>
                <w:szCs w:val="28"/>
                <w:highlight w:val="none"/>
                <w:u w:val="none"/>
                <w:lang w:val="en-US" w:eastAsia="zh-CN" w:bidi="ar-SA"/>
              </w:rPr>
              <w:t>人的教室间数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在籍生数与教室数比</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计算机台数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在籍生数与计算机数比</w:t>
            </w:r>
          </w:p>
        </w:tc>
        <w:tc>
          <w:tcPr>
            <w:tcW w:w="829"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校本部</w:t>
            </w:r>
          </w:p>
        </w:tc>
        <w:tc>
          <w:tcPr>
            <w:tcW w:w="1144"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3.4</w:t>
            </w:r>
          </w:p>
        </w:tc>
        <w:tc>
          <w:tcPr>
            <w:tcW w:w="1090"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3068</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1.76</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16</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0.92</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96</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5.52</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全省排名</w:t>
            </w:r>
          </w:p>
        </w:tc>
        <w:tc>
          <w:tcPr>
            <w:tcW w:w="1144"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11</w:t>
            </w:r>
          </w:p>
        </w:tc>
        <w:tc>
          <w:tcPr>
            <w:tcW w:w="1090"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3</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2</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11</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11</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left="0" w:leftChars="0" w:firstLine="640" w:firstLineChars="20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（二）师资队伍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Arial" w:eastAsia="仿宋_GB2312" w:cs="Arial"/>
          <w:color w:val="191919"/>
          <w:sz w:val="32"/>
          <w:szCs w:val="32"/>
          <w:highlight w:val="none"/>
          <w:lang w:val="en-US" w:eastAsia="zh-CN"/>
        </w:rPr>
      </w:pPr>
      <w:r>
        <w:rPr>
          <w:rFonts w:hint="eastAsia" w:ascii="仿宋_GB2312" w:hAnsi="Arial" w:eastAsia="仿宋_GB2312" w:cs="Arial"/>
          <w:color w:val="191919"/>
          <w:sz w:val="32"/>
          <w:szCs w:val="32"/>
          <w:highlight w:val="none"/>
          <w:lang w:val="en-US" w:eastAsia="zh-CN"/>
        </w:rPr>
        <w:t>加强新时代教师队伍建设，完善师德师风建设、教师管理，提升教师教书育人能力素质，推进建成5个市级“双师型”教师培养培训基地之一。</w:t>
      </w:r>
    </w:p>
    <w:p>
      <w:pPr>
        <w:pStyle w:val="2"/>
        <w:rPr>
          <w:rFonts w:hint="eastAsia" w:ascii="仿宋_GB2312" w:hAnsi="Arial" w:eastAsia="仿宋_GB2312" w:cs="Arial"/>
          <w:color w:val="191919"/>
          <w:sz w:val="32"/>
          <w:szCs w:val="32"/>
          <w:highlight w:val="none"/>
          <w:lang w:val="en-US" w:eastAsia="zh-CN"/>
        </w:rPr>
      </w:pPr>
    </w:p>
    <w:p>
      <w:pPr>
        <w:pStyle w:val="2"/>
        <w:rPr>
          <w:rFonts w:hint="eastAsia" w:ascii="仿宋_GB2312" w:hAnsi="Arial" w:eastAsia="仿宋_GB2312" w:cs="Arial"/>
          <w:color w:val="191919"/>
          <w:sz w:val="32"/>
          <w:szCs w:val="32"/>
          <w:highlight w:val="none"/>
          <w:lang w:val="en-US" w:eastAsia="zh-CN"/>
        </w:rPr>
      </w:pPr>
    </w:p>
    <w:p>
      <w:pPr>
        <w:pStyle w:val="2"/>
        <w:rPr>
          <w:rFonts w:hint="eastAsia" w:ascii="仿宋_GB2312" w:hAnsi="Arial" w:eastAsia="仿宋_GB2312" w:cs="Arial"/>
          <w:color w:val="191919"/>
          <w:sz w:val="32"/>
          <w:szCs w:val="32"/>
          <w:highlight w:val="none"/>
          <w:lang w:val="en-US" w:eastAsia="zh-CN"/>
        </w:rPr>
      </w:pPr>
    </w:p>
    <w:p>
      <w:pPr>
        <w:pStyle w:val="2"/>
        <w:rPr>
          <w:rFonts w:hint="eastAsia" w:ascii="仿宋_GB2312" w:hAnsi="Arial" w:eastAsia="仿宋_GB2312" w:cs="Arial"/>
          <w:color w:val="191919"/>
          <w:sz w:val="32"/>
          <w:szCs w:val="32"/>
          <w:highlight w:val="none"/>
          <w:lang w:val="en-US" w:eastAsia="zh-CN"/>
        </w:rPr>
      </w:pPr>
      <w:bookmarkStart w:id="1" w:name="_GoBack"/>
      <w:bookmarkEnd w:id="1"/>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表3-2 2020年度教师情况</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2"/>
          <w:sz w:val="28"/>
          <w:szCs w:val="28"/>
          <w:highlight w:val="none"/>
          <w:lang w:val="en-US" w:eastAsia="zh-CN" w:bidi="ar-SA"/>
        </w:rPr>
        <w:t>校内教师数量与结构</w:t>
      </w:r>
    </w:p>
    <w:tbl>
      <w:tblPr>
        <w:tblStyle w:val="4"/>
        <w:tblW w:w="8390" w:type="dxa"/>
        <w:tblInd w:w="0" w:type="dxa"/>
        <w:tblLayout w:type="fixed"/>
        <w:tblCellMar>
          <w:top w:w="0" w:type="dxa"/>
          <w:left w:w="108" w:type="dxa"/>
          <w:bottom w:w="0" w:type="dxa"/>
          <w:right w:w="108" w:type="dxa"/>
        </w:tblCellMar>
      </w:tblPr>
      <w:tblGrid>
        <w:gridCol w:w="1116"/>
        <w:gridCol w:w="620"/>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116"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20"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620"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596" w:hRule="atLeast"/>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r>
        <w:tblPrEx>
          <w:tblCellMar>
            <w:top w:w="0" w:type="dxa"/>
            <w:left w:w="108" w:type="dxa"/>
            <w:bottom w:w="0" w:type="dxa"/>
            <w:right w:w="108" w:type="dxa"/>
          </w:tblCellMar>
        </w:tblPrEx>
        <w:trPr>
          <w:trHeight w:val="560" w:hRule="atLeast"/>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所辖</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教学点</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汇总</w:t>
            </w:r>
          </w:p>
        </w:tc>
        <w:tc>
          <w:tcPr>
            <w:tcW w:w="6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9</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6</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6</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3</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r>
    </w:tbl>
    <w:p>
      <w:pPr>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bidi="ar-SA"/>
        </w:rPr>
        <w:t>校外聘任教师数量与结构</w:t>
      </w:r>
    </w:p>
    <w:tbl>
      <w:tblPr>
        <w:tblStyle w:val="4"/>
        <w:tblW w:w="8390" w:type="dxa"/>
        <w:tblInd w:w="0" w:type="dxa"/>
        <w:tblLayout w:type="fixed"/>
        <w:tblCellMar>
          <w:top w:w="0" w:type="dxa"/>
          <w:left w:w="108" w:type="dxa"/>
          <w:bottom w:w="0" w:type="dxa"/>
          <w:right w:w="108" w:type="dxa"/>
        </w:tblCellMar>
      </w:tblPr>
      <w:tblGrid>
        <w:gridCol w:w="1259"/>
        <w:gridCol w:w="665"/>
        <w:gridCol w:w="662"/>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259"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65"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214"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259"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665"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662"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457" w:hRule="atLeast"/>
        </w:trPr>
        <w:tc>
          <w:tcPr>
            <w:tcW w:w="12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66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r>
        <w:tblPrEx>
          <w:tblCellMar>
            <w:top w:w="0" w:type="dxa"/>
            <w:left w:w="108" w:type="dxa"/>
            <w:bottom w:w="0" w:type="dxa"/>
            <w:right w:w="108" w:type="dxa"/>
          </w:tblCellMar>
        </w:tblPrEx>
        <w:trPr>
          <w:trHeight w:val="560" w:hRule="atLeast"/>
        </w:trPr>
        <w:tc>
          <w:tcPr>
            <w:tcW w:w="12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所辖</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教学点</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汇总</w:t>
            </w:r>
          </w:p>
        </w:tc>
        <w:tc>
          <w:tcPr>
            <w:tcW w:w="6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66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四、科学研究和特色创新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（一）科学研究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制定《鹰潭电大教育研究项目管理办法》《鹰潭电大科研成果奖励办法》，实现教育研究项目管理的科学化、制度化和规范化。近几年来，学校专职、兼职教师研究成果丰硕，评上各类高级以上职称的4名，发表核心刊物文章12篇、省级刊物21篇，教育类研究课题4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highlight w:val="none"/>
          <w:lang w:val="en-US" w:eastAsia="zh-CN"/>
        </w:rPr>
      </w:pPr>
      <w:r>
        <w:rPr>
          <w:rFonts w:hint="eastAsia" w:ascii="楷体" w:hAnsi="楷体" w:eastAsia="楷体" w:cs="楷体"/>
          <w:b w:val="0"/>
          <w:bCs w:val="0"/>
          <w:color w:val="auto"/>
          <w:sz w:val="32"/>
          <w:szCs w:val="32"/>
          <w:highlight w:val="none"/>
          <w:lang w:val="en-US" w:eastAsia="zh-CN"/>
        </w:rPr>
        <w:t>（二）特色创新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宋体"/>
          <w:color w:val="auto"/>
          <w:kern w:val="0"/>
          <w:sz w:val="32"/>
          <w:szCs w:val="32"/>
          <w:highlight w:val="none"/>
          <w:lang w:val="en-US" w:eastAsia="zh-CN"/>
        </w:rPr>
      </w:pPr>
      <w:r>
        <w:rPr>
          <w:rFonts w:hint="eastAsia" w:ascii="仿宋_GB2312" w:hAnsi="Arial" w:eastAsia="仿宋_GB2312" w:cs="Arial"/>
          <w:color w:val="191919"/>
          <w:sz w:val="32"/>
          <w:szCs w:val="32"/>
          <w:highlight w:val="none"/>
          <w:lang w:val="en-US" w:eastAsia="zh-CN"/>
        </w:rPr>
        <w:t>1.</w:t>
      </w:r>
      <w:r>
        <w:rPr>
          <w:rFonts w:hint="eastAsia" w:ascii="仿宋_GB2312" w:hAnsi="Arial" w:eastAsia="仿宋_GB2312" w:cs="Arial"/>
          <w:color w:val="191919"/>
          <w:sz w:val="32"/>
          <w:szCs w:val="32"/>
          <w:highlight w:val="none"/>
        </w:rPr>
        <w:t>根据教育部《关于推进社区教育的若干意见》和《江西省教育厅等十部门关于加快推进社区教育发展的实施意见》赣发[2018]3号文件精神和要求，经市教育局等十部门协商研究，</w:t>
      </w:r>
      <w:r>
        <w:rPr>
          <w:rFonts w:hint="eastAsia" w:ascii="仿宋_GB2312" w:hAnsi="宋体" w:eastAsia="仿宋_GB2312"/>
          <w:sz w:val="32"/>
          <w:szCs w:val="32"/>
          <w:highlight w:val="none"/>
        </w:rPr>
        <w:t>2019年5月成立“鹰潭市社区教育指导中心”。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五、社会服务</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服务</w:t>
      </w:r>
      <w:r>
        <w:rPr>
          <w:rFonts w:hint="eastAsia" w:ascii="楷体" w:hAnsi="楷体" w:eastAsia="楷体" w:cs="楷体"/>
          <w:b w:val="0"/>
          <w:bCs w:val="0"/>
          <w:color w:val="auto"/>
          <w:sz w:val="32"/>
          <w:szCs w:val="32"/>
          <w:highlight w:val="none"/>
          <w:lang w:eastAsia="zh-CN"/>
        </w:rPr>
        <w:t>地方</w:t>
      </w:r>
      <w:r>
        <w:rPr>
          <w:rFonts w:hint="eastAsia" w:ascii="楷体" w:hAnsi="楷体" w:eastAsia="楷体" w:cs="楷体"/>
          <w:b w:val="0"/>
          <w:bCs w:val="0"/>
          <w:color w:val="auto"/>
          <w:sz w:val="32"/>
          <w:szCs w:val="32"/>
          <w:highlight w:val="none"/>
        </w:rPr>
        <w:t>经济社会发展与学习型社会建设情况</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 w:hAnsi="仿宋" w:eastAsia="仿宋" w:cs="仿宋"/>
          <w:b w:val="0"/>
          <w:bCs w:val="0"/>
          <w:color w:val="auto"/>
          <w:sz w:val="32"/>
          <w:szCs w:val="32"/>
          <w:highlight w:val="none"/>
          <w:lang w:val="en-US" w:eastAsia="zh-CN"/>
        </w:rPr>
      </w:pPr>
      <w:r>
        <w:rPr>
          <w:rFonts w:hint="eastAsia"/>
          <w:b w:val="0"/>
          <w:bCs w:val="0"/>
          <w:color w:val="auto"/>
          <w:highlight w:val="none"/>
          <w:lang w:val="en-US" w:eastAsia="zh-CN"/>
        </w:rPr>
        <w:t xml:space="preserve">      </w:t>
      </w:r>
      <w:r>
        <w:rPr>
          <w:rFonts w:hint="eastAsia" w:ascii="仿宋_GB2312" w:eastAsia="仿宋_GB2312"/>
          <w:sz w:val="32"/>
          <w:szCs w:val="32"/>
          <w:highlight w:val="none"/>
        </w:rPr>
        <w:t>利用开放教育现代远程教育手段，应用到“一村一名大学生工程”教学各个环节</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邀请市委农工部领导和专家为“一村一”学员授课，提升综合素质和社会实践能力，培养和造就以李汉富</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张单英</w:t>
      </w:r>
      <w:r>
        <w:rPr>
          <w:rFonts w:hint="eastAsia" w:ascii="仿宋_GB2312" w:eastAsia="仿宋_GB2312"/>
          <w:sz w:val="32"/>
          <w:szCs w:val="32"/>
          <w:highlight w:val="none"/>
        </w:rPr>
        <w:t>为代表的一批扎根农村、服务农民、带头致富的乡土实用人才。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（二）</w:t>
      </w:r>
      <w:r>
        <w:rPr>
          <w:rFonts w:hint="eastAsia" w:ascii="楷体" w:hAnsi="楷体" w:eastAsia="楷体" w:cs="楷体"/>
          <w:b w:val="0"/>
          <w:bCs w:val="0"/>
          <w:color w:val="auto"/>
          <w:sz w:val="32"/>
          <w:szCs w:val="32"/>
          <w:highlight w:val="none"/>
        </w:rPr>
        <w:t>对口支援、教育帮扶情况</w:t>
      </w:r>
    </w:p>
    <w:p>
      <w:pPr>
        <w:pStyle w:val="2"/>
        <w:ind w:firstLine="640" w:firstLineChars="200"/>
        <w:rPr>
          <w:rFonts w:hint="default" w:ascii="仿宋_GB2312" w:hAnsi="Calibri" w:eastAsia="仿宋_GB2312" w:cs="Times New Roman"/>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eastAsia="zh-CN" w:bidi="ar-SA"/>
        </w:rPr>
        <w:t>学校依据自身</w:t>
      </w:r>
      <w:r>
        <w:rPr>
          <w:rFonts w:hint="default" w:ascii="仿宋_GB2312" w:hAnsi="Calibri" w:eastAsia="仿宋_GB2312" w:cs="Times New Roman"/>
          <w:kern w:val="2"/>
          <w:sz w:val="32"/>
          <w:szCs w:val="32"/>
          <w:highlight w:val="none"/>
          <w:lang w:val="en-US" w:eastAsia="zh-CN" w:bidi="ar-SA"/>
        </w:rPr>
        <w:t>优势</w:t>
      </w:r>
      <w:r>
        <w:rPr>
          <w:rFonts w:hint="eastAsia" w:ascii="仿宋_GB2312" w:hAnsi="Calibri" w:eastAsia="仿宋_GB2312" w:cs="Times New Roman"/>
          <w:kern w:val="2"/>
          <w:sz w:val="32"/>
          <w:szCs w:val="32"/>
          <w:highlight w:val="none"/>
          <w:lang w:val="en-US" w:eastAsia="zh-CN" w:bidi="ar-SA"/>
        </w:rPr>
        <w:t>开展</w:t>
      </w:r>
      <w:r>
        <w:rPr>
          <w:rFonts w:hint="default" w:ascii="仿宋_GB2312" w:hAnsi="Calibri" w:eastAsia="仿宋_GB2312" w:cs="Times New Roman"/>
          <w:kern w:val="2"/>
          <w:sz w:val="32"/>
          <w:szCs w:val="32"/>
          <w:highlight w:val="none"/>
          <w:lang w:val="en-US" w:eastAsia="zh-CN" w:bidi="ar-SA"/>
        </w:rPr>
        <w:t>贫困户脱贫和帮扶工作：一是有学习要求的贫困户可免费就读高职扩招性质的高素质农民大专学习。二是贫困户可以到</w:t>
      </w:r>
      <w:r>
        <w:rPr>
          <w:rFonts w:hint="eastAsia" w:ascii="仿宋_GB2312" w:hAnsi="Calibri" w:eastAsia="仿宋_GB2312" w:cs="Times New Roman"/>
          <w:kern w:val="2"/>
          <w:sz w:val="32"/>
          <w:szCs w:val="32"/>
          <w:highlight w:val="none"/>
          <w:lang w:val="en-US" w:eastAsia="zh-CN" w:bidi="ar-SA"/>
        </w:rPr>
        <w:t>学校</w:t>
      </w:r>
      <w:r>
        <w:rPr>
          <w:rFonts w:hint="default" w:ascii="仿宋_GB2312" w:hAnsi="Calibri" w:eastAsia="仿宋_GB2312" w:cs="Times New Roman"/>
          <w:kern w:val="2"/>
          <w:sz w:val="32"/>
          <w:szCs w:val="32"/>
          <w:highlight w:val="none"/>
          <w:lang w:val="en-US" w:eastAsia="zh-CN" w:bidi="ar-SA"/>
        </w:rPr>
        <w:t>免费学习蛋糕制作技术。三是校领导干部每月至少一次深入到贫困户家中，帮助帮扶对象解决生产、生活上的具体困难。四是签订扶贫增收协议，贫困户完成增收计划，</w:t>
      </w:r>
      <w:r>
        <w:rPr>
          <w:rFonts w:hint="eastAsia" w:ascii="仿宋_GB2312" w:eastAsia="仿宋_GB2312" w:cs="Times New Roman"/>
          <w:kern w:val="2"/>
          <w:sz w:val="32"/>
          <w:szCs w:val="32"/>
          <w:highlight w:val="none"/>
          <w:lang w:val="en-US" w:eastAsia="zh-CN" w:bidi="ar-SA"/>
        </w:rPr>
        <w:t>给予</w:t>
      </w:r>
      <w:r>
        <w:rPr>
          <w:rFonts w:hint="default" w:ascii="仿宋_GB2312" w:hAnsi="Calibri" w:eastAsia="仿宋_GB2312" w:cs="Times New Roman"/>
          <w:kern w:val="2"/>
          <w:sz w:val="32"/>
          <w:szCs w:val="32"/>
          <w:highlight w:val="none"/>
          <w:lang w:val="en-US" w:eastAsia="zh-CN" w:bidi="ar-SA"/>
        </w:rPr>
        <w:t>一定的奖励，以激励他们的内生动力。</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jc w:val="both"/>
        <w:textAlignment w:val="auto"/>
        <w:rPr>
          <w:rFonts w:hint="eastAsia" w:ascii="楷体" w:hAnsi="楷体" w:eastAsia="楷体" w:cs="楷体"/>
          <w:b w:val="0"/>
          <w:bCs w:val="0"/>
          <w:strike w:val="0"/>
          <w:dstrike w:val="0"/>
          <w:color w:val="auto"/>
          <w:kern w:val="2"/>
          <w:sz w:val="32"/>
          <w:szCs w:val="32"/>
          <w:highlight w:val="none"/>
          <w:lang w:val="en-US" w:eastAsia="zh-CN" w:bidi="ar-SA"/>
        </w:rPr>
      </w:pPr>
      <w:r>
        <w:rPr>
          <w:rFonts w:hint="eastAsia" w:ascii="楷体" w:hAnsi="楷体" w:eastAsia="楷体" w:cs="楷体"/>
          <w:b w:val="0"/>
          <w:bCs w:val="0"/>
          <w:strike w:val="0"/>
          <w:dstrike w:val="0"/>
          <w:color w:val="auto"/>
          <w:kern w:val="2"/>
          <w:sz w:val="32"/>
          <w:szCs w:val="32"/>
          <w:highlight w:val="none"/>
          <w:lang w:val="en-US" w:eastAsia="zh-CN" w:bidi="ar-SA"/>
        </w:rPr>
        <w:t>（三）学校资源面向校内、社会开放服务情况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仿宋" w:hAnsi="仿宋" w:eastAsia="仿宋" w:cs="宋体"/>
          <w:strike w:val="0"/>
          <w:dstrike w:val="0"/>
          <w:color w:val="auto"/>
          <w:kern w:val="0"/>
          <w:sz w:val="32"/>
          <w:szCs w:val="32"/>
          <w:highlight w:val="none"/>
          <w:lang w:val="en-US" w:eastAsia="zh-CN"/>
        </w:rPr>
      </w:pPr>
      <w:r>
        <w:rPr>
          <w:rFonts w:hint="eastAsia" w:ascii="仿宋" w:hAnsi="仿宋" w:eastAsia="仿宋" w:cs="宋体"/>
          <w:strike w:val="0"/>
          <w:dstrike w:val="0"/>
          <w:color w:val="auto"/>
          <w:kern w:val="0"/>
          <w:sz w:val="32"/>
          <w:szCs w:val="32"/>
          <w:highlight w:val="none"/>
          <w:lang w:val="en-US" w:eastAsia="zh-CN"/>
        </w:rPr>
        <w:t>学校现有图书1200余册、多媒体教室3间、云教室一间和其他教学设备，均对学员、社会开放。学校多年为市卫健委每年组织的卫生系统考试、中国人民银行鹰潭分行组织的金融系统考试、市委组织部组织的“两委”干部考试的考点。</w:t>
      </w:r>
    </w:p>
    <w:p>
      <w:pPr>
        <w:pStyle w:val="2"/>
        <w:keepNext w:val="0"/>
        <w:keepLines w:val="0"/>
        <w:pageBreakBefore w:val="0"/>
        <w:widowControl w:val="0"/>
        <w:numPr>
          <w:ilvl w:val="0"/>
          <w:numId w:val="6"/>
        </w:numPr>
        <w:kinsoku/>
        <w:wordWrap/>
        <w:overflowPunct/>
        <w:topLinePunct w:val="0"/>
        <w:autoSpaceDE/>
        <w:autoSpaceDN/>
        <w:bidi w:val="0"/>
        <w:adjustRightInd/>
        <w:snapToGrid/>
        <w:spacing w:after="0" w:line="600" w:lineRule="exact"/>
        <w:ind w:firstLine="640" w:firstLineChars="200"/>
        <w:jc w:val="both"/>
        <w:textAlignment w:val="auto"/>
        <w:outlineLvl w:val="0"/>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年度办学业务考评</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default" w:ascii="黑体" w:hAnsi="黑体" w:eastAsia="黑体" w:cs="黑体"/>
          <w:b w:val="0"/>
          <w:bCs w:val="0"/>
          <w:color w:val="auto"/>
          <w:sz w:val="32"/>
          <w:szCs w:val="32"/>
          <w:highlight w:val="none"/>
          <w:lang w:val="en-US" w:eastAsia="zh-CN"/>
        </w:rPr>
      </w:pPr>
      <w:r>
        <w:rPr>
          <w:rFonts w:hint="eastAsia" w:ascii="仿宋" w:hAnsi="仿宋" w:eastAsia="仿宋" w:cs="仿宋"/>
          <w:b w:val="0"/>
          <w:bCs w:val="0"/>
          <w:color w:val="auto"/>
          <w:kern w:val="0"/>
          <w:sz w:val="28"/>
          <w:szCs w:val="28"/>
          <w:highlight w:val="none"/>
          <w:lang w:val="en-US" w:eastAsia="zh-CN"/>
        </w:rPr>
        <w:t>表6 2020年度办学业务考评项目得分与排名</w:t>
      </w:r>
    </w:p>
    <w:tbl>
      <w:tblPr>
        <w:tblStyle w:val="4"/>
        <w:tblW w:w="7680" w:type="dxa"/>
        <w:jc w:val="center"/>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3.9</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14</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p>
        </w:tc>
      </w:tr>
    </w:tbl>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仿宋" w:hAnsi="仿宋" w:eastAsia="仿宋" w:cs="仿宋"/>
          <w:b w:val="0"/>
          <w:bCs w:val="0"/>
          <w:color w:val="auto"/>
          <w:sz w:val="28"/>
          <w:szCs w:val="28"/>
          <w:highlight w:val="none"/>
          <w:lang w:val="en-US" w:eastAsia="zh-CN"/>
        </w:rPr>
      </w:pPr>
    </w:p>
    <w:tbl>
      <w:tblPr>
        <w:tblStyle w:val="4"/>
        <w:tblW w:w="7680" w:type="dxa"/>
        <w:jc w:val="center"/>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0</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0.5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0</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56.6</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sz w:val="32"/>
          <w:szCs w:val="32"/>
          <w:highlight w:val="none"/>
          <w:lang w:eastAsia="zh-CN"/>
        </w:rPr>
        <w:t>七、存在的问题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宋体" w:eastAsia="仿宋_GB2312"/>
          <w:b w:val="0"/>
          <w:bCs w:val="0"/>
          <w:sz w:val="32"/>
          <w:szCs w:val="32"/>
          <w:highlight w:val="none"/>
          <w:lang w:val="en-US" w:eastAsia="zh-CN"/>
        </w:rPr>
      </w:pPr>
      <w:r>
        <w:rPr>
          <w:rFonts w:hint="eastAsia" w:ascii="仿宋_GB2312" w:hAnsi="宋体" w:eastAsia="仿宋_GB2312"/>
          <w:b w:val="0"/>
          <w:bCs w:val="0"/>
          <w:sz w:val="32"/>
          <w:szCs w:val="32"/>
          <w:highlight w:val="none"/>
          <w:lang w:val="en-US" w:eastAsia="zh-CN"/>
        </w:rPr>
        <w:t>1.理念滞后。学校办学理念相对滞后，管理方式有待优化。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b w:val="0"/>
          <w:bCs w:val="0"/>
          <w:sz w:val="32"/>
          <w:szCs w:val="32"/>
          <w:highlight w:val="none"/>
          <w:lang w:val="en-US" w:eastAsia="zh-CN"/>
        </w:rPr>
        <w:t>2.学历教育发展不足</w:t>
      </w:r>
      <w:r>
        <w:rPr>
          <w:rFonts w:hint="eastAsia" w:ascii="仿宋_GB2312" w:hAnsi="宋体" w:eastAsia="仿宋_GB2312"/>
          <w:b w:val="0"/>
          <w:bCs w:val="0"/>
          <w:sz w:val="32"/>
          <w:szCs w:val="32"/>
          <w:highlight w:val="none"/>
          <w:lang w:eastAsia="zh-CN"/>
        </w:rPr>
        <w:t>。</w:t>
      </w:r>
      <w:r>
        <w:rPr>
          <w:rFonts w:hint="eastAsia" w:ascii="仿宋_GB2312" w:hAnsi="宋体" w:eastAsia="仿宋_GB2312"/>
          <w:sz w:val="32"/>
          <w:szCs w:val="32"/>
          <w:highlight w:val="none"/>
        </w:rPr>
        <w:t>鹰潭地域小，人口总量少，</w:t>
      </w:r>
      <w:r>
        <w:rPr>
          <w:rFonts w:hint="eastAsia" w:ascii="仿宋_GB2312" w:hAnsi="宋体" w:eastAsia="仿宋_GB2312"/>
          <w:sz w:val="32"/>
          <w:szCs w:val="32"/>
          <w:highlight w:val="none"/>
          <w:lang w:val="en-US" w:eastAsia="zh-CN"/>
        </w:rPr>
        <w:t>加之近年来全国全日制高校不断扩招，致使学校潜在学历教育生源不断萎缩</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学校早</w:t>
      </w:r>
      <w:r>
        <w:rPr>
          <w:rFonts w:hint="eastAsia" w:ascii="仿宋_GB2312" w:hAnsi="宋体" w:eastAsia="仿宋_GB2312"/>
          <w:sz w:val="32"/>
          <w:szCs w:val="32"/>
          <w:highlight w:val="none"/>
          <w:lang w:eastAsia="zh-CN"/>
        </w:rPr>
        <w:t>年招</w:t>
      </w:r>
      <w:r>
        <w:rPr>
          <w:rFonts w:hint="eastAsia" w:ascii="仿宋_GB2312" w:hAnsi="宋体" w:eastAsia="仿宋_GB2312"/>
          <w:sz w:val="32"/>
          <w:szCs w:val="32"/>
          <w:highlight w:val="none"/>
          <w:lang w:val="en-US" w:eastAsia="zh-CN"/>
        </w:rPr>
        <w:t>生最高达到</w:t>
      </w:r>
      <w:r>
        <w:rPr>
          <w:rFonts w:hint="eastAsia" w:ascii="仿宋_GB2312" w:hAnsi="宋体" w:eastAsia="仿宋_GB2312"/>
          <w:sz w:val="32"/>
          <w:szCs w:val="32"/>
          <w:highlight w:val="none"/>
        </w:rPr>
        <w:t>2000人</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自2005年以后，招生</w:t>
      </w:r>
      <w:r>
        <w:rPr>
          <w:rFonts w:hint="eastAsia" w:ascii="仿宋_GB2312" w:hAnsi="宋体" w:eastAsia="仿宋_GB2312"/>
          <w:sz w:val="32"/>
          <w:szCs w:val="32"/>
          <w:highlight w:val="none"/>
        </w:rPr>
        <w:t>逐年下</w:t>
      </w:r>
      <w:r>
        <w:rPr>
          <w:rFonts w:hint="eastAsia" w:ascii="仿宋_GB2312" w:hAnsi="宋体" w:eastAsia="仿宋_GB2312"/>
          <w:sz w:val="32"/>
          <w:szCs w:val="32"/>
          <w:highlight w:val="none"/>
          <w:lang w:val="en-US" w:eastAsia="zh-CN"/>
        </w:rPr>
        <w:t>滑，目前</w:t>
      </w:r>
      <w:r>
        <w:rPr>
          <w:rFonts w:hint="eastAsia" w:ascii="仿宋_GB2312" w:hAnsi="宋体" w:eastAsia="仿宋_GB2312"/>
          <w:sz w:val="32"/>
          <w:szCs w:val="32"/>
          <w:highlight w:val="none"/>
        </w:rPr>
        <w:t>每年</w:t>
      </w:r>
      <w:r>
        <w:rPr>
          <w:rFonts w:hint="eastAsia" w:ascii="仿宋_GB2312" w:hAnsi="宋体" w:eastAsia="仿宋_GB2312"/>
          <w:sz w:val="32"/>
          <w:szCs w:val="32"/>
          <w:highlight w:val="none"/>
          <w:lang w:val="en-US" w:eastAsia="zh-CN"/>
        </w:rPr>
        <w:t>招收5</w:t>
      </w:r>
      <w:r>
        <w:rPr>
          <w:rFonts w:hint="eastAsia" w:ascii="仿宋_GB2312" w:hAnsi="宋体" w:eastAsia="仿宋_GB2312"/>
          <w:sz w:val="32"/>
          <w:szCs w:val="32"/>
          <w:highlight w:val="none"/>
        </w:rPr>
        <w:t>00人左右</w:t>
      </w:r>
      <w:r>
        <w:rPr>
          <w:rFonts w:hint="eastAsia" w:ascii="仿宋_GB2312" w:hAnsi="宋体" w:eastAsia="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3.办学条件制约学校发展。学校</w:t>
      </w:r>
      <w:r>
        <w:rPr>
          <w:rFonts w:hint="eastAsia" w:ascii="仿宋_GB2312" w:hAnsi="宋体" w:eastAsia="仿宋_GB2312"/>
          <w:sz w:val="32"/>
          <w:szCs w:val="32"/>
          <w:highlight w:val="none"/>
        </w:rPr>
        <w:t>位于</w:t>
      </w:r>
      <w:r>
        <w:rPr>
          <w:rFonts w:hint="eastAsia" w:ascii="仿宋_GB2312" w:hAnsi="宋体" w:eastAsia="仿宋_GB2312"/>
          <w:sz w:val="32"/>
          <w:szCs w:val="32"/>
          <w:highlight w:val="none"/>
          <w:lang w:eastAsia="zh-CN"/>
        </w:rPr>
        <w:t>鹰潭市</w:t>
      </w:r>
      <w:r>
        <w:rPr>
          <w:rFonts w:hint="eastAsia" w:ascii="仿宋_GB2312" w:hAnsi="宋体" w:eastAsia="仿宋_GB2312"/>
          <w:sz w:val="32"/>
          <w:szCs w:val="32"/>
          <w:highlight w:val="none"/>
        </w:rPr>
        <w:t>胜利东路93号和湖西路40号，被胜利东路分隔成南北楼。</w:t>
      </w:r>
      <w:r>
        <w:rPr>
          <w:rFonts w:hint="eastAsia" w:ascii="仿宋_GB2312" w:hAnsi="宋体" w:eastAsia="仿宋_GB2312"/>
          <w:sz w:val="32"/>
          <w:szCs w:val="32"/>
          <w:highlight w:val="none"/>
          <w:lang w:eastAsia="zh-CN"/>
        </w:rPr>
        <w:t>其中，</w:t>
      </w:r>
      <w:r>
        <w:rPr>
          <w:rFonts w:hint="eastAsia" w:ascii="仿宋_GB2312" w:hAnsi="宋体" w:eastAsia="仿宋_GB2312"/>
          <w:sz w:val="32"/>
          <w:szCs w:val="32"/>
          <w:highlight w:val="none"/>
        </w:rPr>
        <w:t>南楼</w:t>
      </w:r>
      <w:r>
        <w:rPr>
          <w:rFonts w:hint="eastAsia" w:ascii="仿宋_GB2312" w:hAnsi="宋体" w:eastAsia="仿宋_GB2312"/>
          <w:sz w:val="32"/>
          <w:szCs w:val="32"/>
          <w:highlight w:val="none"/>
          <w:lang w:eastAsia="zh-CN"/>
        </w:rPr>
        <w:t>为</w:t>
      </w:r>
      <w:r>
        <w:rPr>
          <w:rFonts w:hint="eastAsia" w:ascii="仿宋_GB2312" w:hAnsi="宋体" w:eastAsia="仿宋_GB2312"/>
          <w:sz w:val="32"/>
          <w:szCs w:val="32"/>
          <w:highlight w:val="none"/>
        </w:rPr>
        <w:t>单通道设计，无疏散通道，有</w:t>
      </w:r>
      <w:r>
        <w:rPr>
          <w:rFonts w:hint="eastAsia" w:ascii="仿宋_GB2312" w:hAnsi="宋体" w:eastAsia="仿宋_GB2312"/>
          <w:sz w:val="32"/>
          <w:szCs w:val="32"/>
          <w:highlight w:val="none"/>
          <w:lang w:val="en-US" w:eastAsia="zh-CN"/>
        </w:rPr>
        <w:t>一定的</w:t>
      </w:r>
      <w:r>
        <w:rPr>
          <w:rFonts w:hint="eastAsia" w:ascii="仿宋_GB2312" w:hAnsi="宋体" w:eastAsia="仿宋_GB2312"/>
          <w:sz w:val="32"/>
          <w:szCs w:val="32"/>
          <w:highlight w:val="none"/>
        </w:rPr>
        <w:t>安全隐患；学生考试时</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要经常来回横穿胜利东路</w:t>
      </w:r>
      <w:r>
        <w:rPr>
          <w:rFonts w:hint="eastAsia" w:ascii="仿宋_GB2312" w:hAnsi="宋体" w:eastAsia="仿宋_GB2312"/>
          <w:sz w:val="32"/>
          <w:szCs w:val="32"/>
          <w:highlight w:val="none"/>
          <w:lang w:eastAsia="zh-CN"/>
        </w:rPr>
        <w:t>往返南北楼</w:t>
      </w:r>
      <w:r>
        <w:rPr>
          <w:rFonts w:hint="eastAsia" w:ascii="仿宋_GB2312" w:hAnsi="宋体" w:eastAsia="仿宋_GB2312"/>
          <w:sz w:val="32"/>
          <w:szCs w:val="32"/>
          <w:highlight w:val="none"/>
        </w:rPr>
        <w:t>，安全难以保障。同时，校园老旧、规模太小，限制</w:t>
      </w:r>
      <w:r>
        <w:rPr>
          <w:rFonts w:hint="eastAsia" w:ascii="仿宋_GB2312" w:hAnsi="宋体" w:eastAsia="仿宋_GB2312"/>
          <w:sz w:val="32"/>
          <w:szCs w:val="32"/>
          <w:highlight w:val="none"/>
          <w:lang w:val="en-US" w:eastAsia="zh-CN"/>
        </w:rPr>
        <w:t>了</w:t>
      </w:r>
      <w:r>
        <w:rPr>
          <w:rFonts w:hint="eastAsia" w:ascii="仿宋_GB2312" w:hAnsi="宋体" w:eastAsia="仿宋_GB2312"/>
          <w:sz w:val="32"/>
          <w:szCs w:val="32"/>
          <w:highlight w:val="none"/>
          <w:lang w:eastAsia="zh-CN"/>
        </w:rPr>
        <w:t>学校</w:t>
      </w:r>
      <w:r>
        <w:rPr>
          <w:rFonts w:hint="eastAsia" w:ascii="仿宋_GB2312" w:hAnsi="宋体" w:eastAsia="仿宋_GB2312"/>
          <w:sz w:val="32"/>
          <w:szCs w:val="32"/>
          <w:highlight w:val="none"/>
        </w:rPr>
        <w:t>的发展。</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黑体" w:hAnsi="黑体" w:eastAsia="黑体" w:cs="黑体"/>
          <w:color w:val="auto"/>
          <w:kern w:val="2"/>
          <w:sz w:val="32"/>
          <w:szCs w:val="32"/>
          <w:highlight w:val="none"/>
          <w:lang w:val="en-US" w:eastAsia="zh-CN" w:bidi="ar-SA"/>
        </w:rPr>
      </w:pPr>
      <w:r>
        <w:rPr>
          <w:rFonts w:hint="eastAsia" w:ascii="黑体" w:hAnsi="黑体" w:eastAsia="黑体" w:cs="黑体"/>
          <w:color w:val="auto"/>
          <w:sz w:val="32"/>
          <w:szCs w:val="32"/>
          <w:highlight w:val="none"/>
          <w:lang w:eastAsia="zh-CN"/>
        </w:rPr>
        <w:t>八、</w:t>
      </w:r>
      <w:r>
        <w:rPr>
          <w:rFonts w:hint="eastAsia" w:ascii="黑体" w:hAnsi="黑体" w:eastAsia="黑体" w:cs="黑体"/>
          <w:color w:val="auto"/>
          <w:sz w:val="32"/>
          <w:szCs w:val="32"/>
          <w:highlight w:val="none"/>
        </w:rPr>
        <w:t>对策建议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val="en-US" w:eastAsia="zh-CN"/>
        </w:rPr>
        <w:t>1.</w:t>
      </w:r>
      <w:r>
        <w:rPr>
          <w:rFonts w:hint="eastAsia" w:ascii="仿宋_GB2312" w:eastAsia="仿宋_GB2312"/>
          <w:sz w:val="32"/>
          <w:szCs w:val="32"/>
          <w:highlight w:val="none"/>
          <w:lang w:val="en-US" w:eastAsia="zh-CN"/>
        </w:rPr>
        <w:t>积极促进联合办学</w:t>
      </w:r>
      <w:r>
        <w:rPr>
          <w:rFonts w:hint="eastAsia" w:ascii="仿宋_GB2312" w:eastAsia="仿宋_GB2312"/>
          <w:sz w:val="32"/>
          <w:szCs w:val="32"/>
          <w:highlight w:val="none"/>
        </w:rPr>
        <w:t>。</w:t>
      </w:r>
      <w:r>
        <w:rPr>
          <w:rFonts w:hint="eastAsia" w:ascii="仿宋_GB2312" w:hAnsi="宋体" w:eastAsia="仿宋_GB2312"/>
          <w:sz w:val="32"/>
          <w:szCs w:val="32"/>
          <w:highlight w:val="none"/>
          <w:lang w:val="en-US" w:eastAsia="zh-CN"/>
        </w:rPr>
        <w:t>争取</w:t>
      </w:r>
      <w:r>
        <w:rPr>
          <w:rFonts w:hint="eastAsia" w:ascii="仿宋_GB2312" w:hAnsi="宋体" w:eastAsia="仿宋_GB2312"/>
          <w:sz w:val="32"/>
          <w:szCs w:val="32"/>
          <w:highlight w:val="none"/>
          <w:lang w:eastAsia="zh-CN"/>
        </w:rPr>
        <w:t>和鹰潭市乡村振兴职业技术大学合并办学。在现有学校的基础上，加挂“鹰潭市乡村振兴职业技术大学”牌子，</w:t>
      </w:r>
      <w:r>
        <w:rPr>
          <w:rFonts w:hint="eastAsia" w:ascii="仿宋_GB2312" w:hAnsi="宋体" w:eastAsia="仿宋_GB2312"/>
          <w:sz w:val="32"/>
          <w:szCs w:val="32"/>
          <w:highlight w:val="none"/>
          <w:lang w:val="en-US" w:eastAsia="zh-CN"/>
        </w:rPr>
        <w:t>实行</w:t>
      </w:r>
      <w:r>
        <w:rPr>
          <w:rFonts w:hint="eastAsia" w:ascii="仿宋_GB2312" w:hAnsi="宋体" w:eastAsia="仿宋_GB2312"/>
          <w:sz w:val="32"/>
          <w:szCs w:val="32"/>
          <w:highlight w:val="none"/>
          <w:lang w:eastAsia="zh-CN"/>
        </w:rPr>
        <w:t>“一校两牌、一套人马”，开展非全日制高等学历教育、全日制中职学历教育、乡村振兴职业教育和培训、社区教育、老年教育、职业启蒙教育等。</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val="en-US" w:eastAsia="zh-CN"/>
        </w:rPr>
        <w:t>2.拓展</w:t>
      </w:r>
      <w:r>
        <w:rPr>
          <w:rFonts w:hint="eastAsia" w:ascii="仿宋_GB2312" w:hAnsi="宋体" w:eastAsia="仿宋_GB2312"/>
          <w:sz w:val="32"/>
          <w:szCs w:val="32"/>
          <w:highlight w:val="none"/>
          <w:lang w:eastAsia="zh-CN"/>
        </w:rPr>
        <w:t>乡村振兴职业教育。</w:t>
      </w:r>
      <w:r>
        <w:rPr>
          <w:rFonts w:hint="eastAsia" w:ascii="仿宋_GB2312" w:hAnsi="宋体" w:eastAsia="仿宋_GB2312"/>
          <w:sz w:val="32"/>
          <w:szCs w:val="32"/>
          <w:highlight w:val="none"/>
          <w:lang w:val="en-US" w:eastAsia="zh-CN"/>
        </w:rPr>
        <w:t>在继续办好开放教育的基础上，</w:t>
      </w:r>
      <w:r>
        <w:rPr>
          <w:rFonts w:hint="eastAsia" w:ascii="仿宋_GB2312" w:hAnsi="宋体" w:eastAsia="仿宋_GB2312"/>
          <w:sz w:val="32"/>
          <w:szCs w:val="32"/>
          <w:highlight w:val="none"/>
          <w:lang w:eastAsia="zh-CN"/>
        </w:rPr>
        <w:t>按照乡村振兴职业教育的要求，开展涉农专业人才培养，</w:t>
      </w:r>
      <w:r>
        <w:rPr>
          <w:rFonts w:hint="eastAsia" w:ascii="仿宋_GB2312" w:hAnsi="宋体" w:eastAsia="仿宋_GB2312"/>
          <w:sz w:val="32"/>
          <w:szCs w:val="32"/>
          <w:highlight w:val="none"/>
          <w:lang w:val="en-US" w:eastAsia="zh-CN"/>
        </w:rPr>
        <w:t>开展</w:t>
      </w:r>
      <w:r>
        <w:rPr>
          <w:rFonts w:hint="eastAsia" w:ascii="仿宋_GB2312" w:hAnsi="宋体" w:eastAsia="仿宋_GB2312"/>
          <w:sz w:val="32"/>
          <w:szCs w:val="32"/>
          <w:highlight w:val="none"/>
          <w:lang w:eastAsia="zh-CN"/>
        </w:rPr>
        <w:t>乡村（社区）干部治理能力提升培训、农民职业技能培训和涉农服务等工作。</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开展社区教育。</w:t>
      </w:r>
      <w:r>
        <w:rPr>
          <w:rFonts w:hint="eastAsia" w:ascii="仿宋_GB2312" w:hAnsi="宋体" w:eastAsia="仿宋_GB2312"/>
          <w:sz w:val="32"/>
          <w:szCs w:val="32"/>
          <w:highlight w:val="none"/>
          <w:lang w:val="en-US" w:eastAsia="zh-CN"/>
        </w:rPr>
        <w:t>探索</w:t>
      </w:r>
      <w:r>
        <w:rPr>
          <w:rFonts w:hint="eastAsia" w:ascii="仿宋_GB2312" w:hAnsi="宋体" w:eastAsia="仿宋_GB2312"/>
          <w:sz w:val="32"/>
          <w:szCs w:val="32"/>
          <w:highlight w:val="none"/>
          <w:lang w:eastAsia="zh-CN"/>
        </w:rPr>
        <w:t>实行以“市级牵头、区（市）主体、学校主抓、分类实施”的网格化教学管理制度。在教育行政部门业务指导下，以“</w:t>
      </w:r>
      <w:r>
        <w:rPr>
          <w:rFonts w:hint="eastAsia" w:ascii="仿宋_GB2312" w:hAnsi="宋体" w:eastAsia="仿宋_GB2312"/>
          <w:sz w:val="32"/>
          <w:szCs w:val="32"/>
          <w:highlight w:val="none"/>
          <w:lang w:val="en-US" w:eastAsia="zh-CN"/>
        </w:rPr>
        <w:t>鹰潭市社区教育指导中心”名义，</w:t>
      </w:r>
      <w:r>
        <w:rPr>
          <w:rFonts w:hint="eastAsia" w:ascii="仿宋_GB2312" w:hAnsi="宋体" w:eastAsia="仿宋_GB2312"/>
          <w:sz w:val="32"/>
          <w:szCs w:val="32"/>
          <w:highlight w:val="none"/>
          <w:lang w:eastAsia="zh-CN"/>
        </w:rPr>
        <w:t>统筹开展全市社区教育，联合各中职学校、老年大学、区（市）开放大学教学点开展社区教育、老年教育、终身学习，联合各中小学校开展职业启蒙教育。</w:t>
      </w:r>
    </w:p>
    <w:p>
      <w:pPr>
        <w:pStyle w:val="2"/>
        <w:rPr>
          <w:rFonts w:hint="eastAsia" w:eastAsia="仿宋_GB2312"/>
          <w:highlight w:val="none"/>
          <w:lang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宋体"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6" w:lineRule="exact"/>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576" w:lineRule="exact"/>
        <w:textAlignment w:val="auto"/>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6B1F0"/>
    <w:multiLevelType w:val="singleLevel"/>
    <w:tmpl w:val="A3A6B1F0"/>
    <w:lvl w:ilvl="0" w:tentative="0">
      <w:start w:val="5"/>
      <w:numFmt w:val="chineseCounting"/>
      <w:suff w:val="nothing"/>
      <w:lvlText w:val="（%1）"/>
      <w:lvlJc w:val="left"/>
      <w:rPr>
        <w:rFonts w:hint="eastAsia"/>
      </w:rPr>
    </w:lvl>
  </w:abstractNum>
  <w:abstractNum w:abstractNumId="1">
    <w:nsid w:val="B09BE23E"/>
    <w:multiLevelType w:val="singleLevel"/>
    <w:tmpl w:val="B09BE23E"/>
    <w:lvl w:ilvl="0" w:tentative="0">
      <w:start w:val="2"/>
      <w:numFmt w:val="chineseCounting"/>
      <w:suff w:val="nothing"/>
      <w:lvlText w:val="（%1）"/>
      <w:lvlJc w:val="left"/>
      <w:rPr>
        <w:rFonts w:hint="eastAsia"/>
      </w:rPr>
    </w:lvl>
  </w:abstractNum>
  <w:abstractNum w:abstractNumId="2">
    <w:nsid w:val="DEDE5FC7"/>
    <w:multiLevelType w:val="singleLevel"/>
    <w:tmpl w:val="DEDE5FC7"/>
    <w:lvl w:ilvl="0" w:tentative="0">
      <w:start w:val="3"/>
      <w:numFmt w:val="chineseCounting"/>
      <w:suff w:val="nothing"/>
      <w:lvlText w:val="%1、"/>
      <w:lvlJc w:val="left"/>
      <w:rPr>
        <w:rFonts w:hint="eastAsia"/>
      </w:rPr>
    </w:lvl>
  </w:abstractNum>
  <w:abstractNum w:abstractNumId="3">
    <w:nsid w:val="56172460"/>
    <w:multiLevelType w:val="singleLevel"/>
    <w:tmpl w:val="56172460"/>
    <w:lvl w:ilvl="0" w:tentative="0">
      <w:start w:val="1"/>
      <w:numFmt w:val="decimal"/>
      <w:suff w:val="nothing"/>
      <w:lvlText w:val="（%1）"/>
      <w:lvlJc w:val="left"/>
    </w:lvl>
  </w:abstractNum>
  <w:abstractNum w:abstractNumId="4">
    <w:nsid w:val="66BF78B8"/>
    <w:multiLevelType w:val="singleLevel"/>
    <w:tmpl w:val="66BF78B8"/>
    <w:lvl w:ilvl="0" w:tentative="0">
      <w:start w:val="1"/>
      <w:numFmt w:val="chineseCounting"/>
      <w:suff w:val="nothing"/>
      <w:lvlText w:val="%1、"/>
      <w:lvlJc w:val="left"/>
      <w:rPr>
        <w:rFonts w:hint="eastAsia"/>
      </w:rPr>
    </w:lvl>
  </w:abstractNum>
  <w:abstractNum w:abstractNumId="5">
    <w:nsid w:val="6EB2AD7A"/>
    <w:multiLevelType w:val="singleLevel"/>
    <w:tmpl w:val="6EB2AD7A"/>
    <w:lvl w:ilvl="0" w:tentative="0">
      <w:start w:val="6"/>
      <w:numFmt w:val="chineseCounting"/>
      <w:suff w:val="nothing"/>
      <w:lvlText w:val="%1、"/>
      <w:lvlJc w:val="left"/>
      <w:rPr>
        <w:rFonts w:hint="eastAsia"/>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0577A"/>
    <w:rsid w:val="02CD22E7"/>
    <w:rsid w:val="03657FA5"/>
    <w:rsid w:val="05090BE4"/>
    <w:rsid w:val="0EBF2F3C"/>
    <w:rsid w:val="1A0511EF"/>
    <w:rsid w:val="2022032D"/>
    <w:rsid w:val="27C94489"/>
    <w:rsid w:val="29252970"/>
    <w:rsid w:val="31EF758F"/>
    <w:rsid w:val="37B80FF3"/>
    <w:rsid w:val="3D3844C8"/>
    <w:rsid w:val="3D962ED0"/>
    <w:rsid w:val="3FCA3121"/>
    <w:rsid w:val="44DA497A"/>
    <w:rsid w:val="44F42588"/>
    <w:rsid w:val="47665CCC"/>
    <w:rsid w:val="4B2632F7"/>
    <w:rsid w:val="4EB117E0"/>
    <w:rsid w:val="4FD0577A"/>
    <w:rsid w:val="528C230F"/>
    <w:rsid w:val="53E55B3C"/>
    <w:rsid w:val="5D155525"/>
    <w:rsid w:val="5FB02E0A"/>
    <w:rsid w:val="6217637C"/>
    <w:rsid w:val="63724BDC"/>
    <w:rsid w:val="6C0A331C"/>
    <w:rsid w:val="6E6C57BE"/>
    <w:rsid w:val="79BD0EF3"/>
    <w:rsid w:val="7FCE3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16"/>
    <w:qFormat/>
    <w:uiPriority w:val="0"/>
    <w:rPr>
      <w:rFonts w:hint="default" w:ascii="Times New Roman" w:hAnsi="Times New Roman" w:cs="Times New Roman"/>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2021-04-01T05:28:00Z</dcterms:created>
  <dc:creator>青</dc:creator>
  <cp:lastModifiedBy>青</cp:lastModifiedBy>
  <cp:lastPrinted>2021-04-22T02:46:49Z</cp:lastPrinted>
  <dcterms:modified xsi:type="dcterms:W3CDTF">2021-04-22T02:47:13Z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