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江西开放大学</w:t>
      </w: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南昌市分校2020年度发展报告</w:t>
      </w:r>
    </w:p>
    <w:p>
      <w:pPr>
        <w:keepNext w:val="0"/>
        <w:keepLines w:val="0"/>
        <w:pageBreakBefore w:val="0"/>
        <w:widowControl w:val="0"/>
        <w:kinsoku/>
        <w:wordWrap/>
        <w:overflowPunct/>
        <w:topLinePunct w:val="0"/>
        <w:autoSpaceDE/>
        <w:autoSpaceDN/>
        <w:bidi w:val="0"/>
        <w:adjustRightInd/>
        <w:snapToGrid/>
        <w:spacing w:line="576" w:lineRule="exact"/>
        <w:jc w:val="left"/>
        <w:textAlignment w:val="auto"/>
        <w:rPr>
          <w:rFonts w:hint="eastAsia" w:ascii="仿宋" w:hAnsi="仿宋" w:eastAsia="仿宋" w:cs="仿宋"/>
          <w:color w:val="auto"/>
          <w:sz w:val="30"/>
          <w:szCs w:val="30"/>
          <w:highlight w:val="none"/>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Chars="0" w:firstLine="640" w:firstLineChars="200"/>
        <w:jc w:val="both"/>
        <w:textAlignment w:val="auto"/>
        <w:outlineLvl w:val="0"/>
        <w:rPr>
          <w:rFonts w:hint="eastAsia" w:ascii="黑体" w:hAnsi="黑体" w:eastAsia="黑体" w:cs="黑体"/>
          <w:color w:val="auto"/>
          <w:sz w:val="32"/>
          <w:szCs w:val="32"/>
          <w:highlight w:val="none"/>
          <w:lang w:val="en-US" w:eastAsia="zh-CN"/>
        </w:rPr>
      </w:pPr>
      <w:bookmarkStart w:id="0" w:name="_Toc40173461"/>
      <w:r>
        <w:rPr>
          <w:rFonts w:hint="eastAsia" w:ascii="黑体" w:hAnsi="黑体" w:eastAsia="黑体" w:cs="黑体"/>
          <w:b w:val="0"/>
          <w:bCs w:val="0"/>
          <w:color w:val="auto"/>
          <w:kern w:val="2"/>
          <w:sz w:val="32"/>
          <w:szCs w:val="32"/>
          <w:highlight w:val="none"/>
          <w:lang w:val="en-US" w:eastAsia="zh-CN" w:bidi="ar-SA"/>
        </w:rPr>
        <w:t>省校重点工作推进情况</w:t>
      </w:r>
    </w:p>
    <w:p>
      <w:pPr>
        <w:pStyle w:val="3"/>
        <w:keepNext w:val="0"/>
        <w:keepLines w:val="0"/>
        <w:pageBreakBefore w:val="0"/>
        <w:numPr>
          <w:ilvl w:val="0"/>
          <w:numId w:val="0"/>
        </w:numPr>
        <w:kinsoku/>
        <w:wordWrap/>
        <w:overflowPunct/>
        <w:topLinePunct w:val="0"/>
        <w:autoSpaceDE/>
        <w:autoSpaceDN/>
        <w:bidi w:val="0"/>
        <w:spacing w:line="576" w:lineRule="exact"/>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strike w:val="0"/>
          <w:dstrike w:val="0"/>
          <w:color w:val="auto"/>
          <w:kern w:val="2"/>
          <w:sz w:val="32"/>
          <w:szCs w:val="32"/>
          <w:highlight w:val="none"/>
          <w:lang w:val="en-US" w:eastAsia="zh-CN" w:bidi="ar-SA"/>
        </w:rPr>
        <w:t>2020年南昌市分校围绕省校重点工作，着力推进三大工作：一是</w:t>
      </w:r>
      <w:r>
        <w:rPr>
          <w:rFonts w:hint="eastAsia" w:ascii="仿宋" w:hAnsi="仿宋" w:eastAsia="仿宋" w:cs="仿宋"/>
          <w:color w:val="auto"/>
          <w:kern w:val="2"/>
          <w:sz w:val="32"/>
          <w:szCs w:val="32"/>
          <w:highlight w:val="none"/>
          <w:lang w:val="en-US" w:eastAsia="zh-CN" w:bidi="ar-SA"/>
        </w:rPr>
        <w:t>多次研究学校发展，开展“我为开放大学献计献策”活动和各县区工作站点领导人座谈会等，办学定位与思路更加明确；二是开展教育教学“质量提升年”活动，指导监督各教学点教育教学工作；三是加强实践基地建设，设立实践基地并聘请基地的行业专家、技术能人，办学与教学条件得到改善。</w:t>
      </w:r>
    </w:p>
    <w:bookmarkEnd w:id="0"/>
    <w:p>
      <w:pPr>
        <w:pStyle w:val="3"/>
        <w:keepNext w:val="0"/>
        <w:keepLines w:val="0"/>
        <w:pageBreakBefore w:val="0"/>
        <w:kinsoku/>
        <w:wordWrap/>
        <w:overflowPunct/>
        <w:topLinePunct w:val="0"/>
        <w:autoSpaceDE/>
        <w:autoSpaceDN/>
        <w:bidi w:val="0"/>
        <w:spacing w:line="576" w:lineRule="exact"/>
        <w:ind w:left="0" w:leftChars="0" w:firstLine="640" w:firstLineChars="200"/>
        <w:rPr>
          <w:rFonts w:hint="eastAsia" w:ascii="仿宋" w:hAnsi="仿宋" w:eastAsia="仿宋" w:cs="仿宋"/>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二、人才培养</w:t>
      </w:r>
    </w:p>
    <w:p>
      <w:pPr>
        <w:keepNext w:val="0"/>
        <w:keepLines w:val="0"/>
        <w:pageBreakBefore w:val="0"/>
        <w:widowControl w:val="0"/>
        <w:kinsoku/>
        <w:wordWrap/>
        <w:overflowPunct/>
        <w:topLinePunct w:val="0"/>
        <w:autoSpaceDE/>
        <w:autoSpaceDN/>
        <w:bidi w:val="0"/>
        <w:adjustRightInd w:val="0"/>
        <w:snapToGrid w:val="0"/>
        <w:spacing w:line="576" w:lineRule="exact"/>
        <w:ind w:left="0" w:firstLine="736" w:firstLineChars="230"/>
        <w:jc w:val="both"/>
        <w:textAlignment w:val="auto"/>
        <w:rPr>
          <w:rFonts w:hint="eastAsia" w:ascii="楷体" w:hAnsi="楷体" w:eastAsia="楷体" w:cs="楷体"/>
          <w:b w:val="0"/>
          <w:bCs w:val="0"/>
          <w:color w:val="auto"/>
          <w:sz w:val="32"/>
          <w:szCs w:val="32"/>
          <w:highlight w:val="none"/>
          <w:lang w:val="en-US" w:eastAsia="zh-CN" w:bidi="ar-SA"/>
        </w:rPr>
      </w:pPr>
      <w:r>
        <w:rPr>
          <w:rFonts w:hint="eastAsia" w:ascii="楷体" w:hAnsi="楷体" w:eastAsia="楷体" w:cs="楷体"/>
          <w:b w:val="0"/>
          <w:bCs w:val="0"/>
          <w:color w:val="auto"/>
          <w:sz w:val="32"/>
          <w:szCs w:val="32"/>
          <w:highlight w:val="none"/>
          <w:lang w:bidi="ar-SA"/>
        </w:rPr>
        <w:t>(一)学历教育</w:t>
      </w:r>
      <w:r>
        <w:rPr>
          <w:rFonts w:hint="eastAsia" w:ascii="楷体" w:hAnsi="楷体" w:eastAsia="楷体" w:cs="楷体"/>
          <w:b w:val="0"/>
          <w:bCs w:val="0"/>
          <w:color w:val="auto"/>
          <w:sz w:val="32"/>
          <w:szCs w:val="32"/>
          <w:highlight w:val="none"/>
          <w:lang w:val="en-US" w:eastAsia="zh-CN" w:bidi="ar-SA"/>
        </w:rPr>
        <w:t>整体培养成果</w:t>
      </w:r>
    </w:p>
    <w:p>
      <w:pPr>
        <w:pStyle w:val="3"/>
        <w:keepNext w:val="0"/>
        <w:keepLines w:val="0"/>
        <w:pageBreakBefore w:val="0"/>
        <w:kinsoku/>
        <w:wordWrap/>
        <w:overflowPunct/>
        <w:topLinePunct w:val="0"/>
        <w:autoSpaceDE/>
        <w:autoSpaceDN/>
        <w:bidi w:val="0"/>
        <w:spacing w:line="576" w:lineRule="exact"/>
        <w:ind w:left="0" w:leftChars="0" w:firstLine="640" w:firstLineChars="200"/>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2"/>
          <w:sz w:val="32"/>
          <w:szCs w:val="32"/>
          <w:highlight w:val="none"/>
          <w:u w:val="none"/>
          <w:lang w:val="en-US" w:eastAsia="zh-CN" w:bidi="ar-SA"/>
        </w:rPr>
        <w:t>2020年共有开放教育在籍生</w:t>
      </w:r>
      <w:r>
        <w:rPr>
          <w:rFonts w:hint="eastAsia" w:ascii="仿宋" w:hAnsi="仿宋" w:eastAsia="仿宋" w:cs="仿宋"/>
          <w:color w:val="auto"/>
          <w:sz w:val="32"/>
          <w:szCs w:val="32"/>
          <w:highlight w:val="none"/>
          <w:u w:val="none"/>
          <w:lang w:val="en-US" w:eastAsia="zh-CN" w:bidi="ar-SA"/>
        </w:rPr>
        <w:t>10410</w:t>
      </w:r>
      <w:r>
        <w:rPr>
          <w:rFonts w:hint="eastAsia" w:ascii="仿宋" w:hAnsi="仿宋" w:eastAsia="仿宋" w:cs="仿宋"/>
          <w:color w:val="auto"/>
          <w:kern w:val="2"/>
          <w:sz w:val="32"/>
          <w:szCs w:val="32"/>
          <w:highlight w:val="none"/>
          <w:u w:val="none"/>
          <w:lang w:val="en-US" w:eastAsia="zh-CN" w:bidi="ar-SA"/>
        </w:rPr>
        <w:t>人，同比减少</w:t>
      </w:r>
      <w:r>
        <w:rPr>
          <w:rFonts w:hint="eastAsia" w:ascii="仿宋" w:hAnsi="仿宋" w:eastAsia="仿宋" w:cs="仿宋"/>
          <w:color w:val="auto"/>
          <w:sz w:val="32"/>
          <w:szCs w:val="32"/>
          <w:highlight w:val="none"/>
          <w:u w:val="none"/>
          <w:lang w:val="en-US" w:eastAsia="zh-CN" w:bidi="ar-SA"/>
        </w:rPr>
        <w:t>11.88</w:t>
      </w:r>
      <w:r>
        <w:rPr>
          <w:rFonts w:hint="eastAsia" w:ascii="仿宋" w:hAnsi="仿宋" w:eastAsia="仿宋" w:cs="仿宋"/>
          <w:color w:val="auto"/>
          <w:kern w:val="2"/>
          <w:sz w:val="32"/>
          <w:szCs w:val="32"/>
          <w:highlight w:val="none"/>
          <w:u w:val="none"/>
          <w:lang w:val="en-US" w:eastAsia="zh-CN" w:bidi="ar-SA"/>
        </w:rPr>
        <w:t xml:space="preserve"> %。</w:t>
      </w:r>
      <w:r>
        <w:rPr>
          <w:rFonts w:hint="eastAsia" w:ascii="仿宋" w:hAnsi="仿宋" w:eastAsia="仿宋" w:cs="仿宋"/>
          <w:color w:val="auto"/>
          <w:sz w:val="32"/>
          <w:szCs w:val="32"/>
          <w:highlight w:val="none"/>
          <w:u w:val="none"/>
          <w:lang w:bidi="ar-SA"/>
        </w:rPr>
        <w:t>其中</w:t>
      </w:r>
      <w:r>
        <w:rPr>
          <w:rFonts w:hint="eastAsia" w:ascii="仿宋" w:hAnsi="仿宋" w:eastAsia="仿宋" w:cs="仿宋"/>
          <w:color w:val="auto"/>
          <w:sz w:val="32"/>
          <w:szCs w:val="32"/>
          <w:highlight w:val="none"/>
          <w:u w:val="none"/>
          <w:lang w:eastAsia="zh-CN" w:bidi="ar-SA"/>
        </w:rPr>
        <w:t>，</w:t>
      </w:r>
      <w:r>
        <w:rPr>
          <w:rFonts w:hint="eastAsia" w:ascii="仿宋" w:hAnsi="仿宋" w:eastAsia="仿宋" w:cs="仿宋"/>
          <w:color w:val="auto"/>
          <w:sz w:val="32"/>
          <w:szCs w:val="32"/>
          <w:highlight w:val="none"/>
          <w:u w:val="none"/>
          <w:lang w:bidi="ar-SA"/>
        </w:rPr>
        <w:t>本科</w:t>
      </w:r>
      <w:r>
        <w:rPr>
          <w:rFonts w:hint="eastAsia" w:ascii="仿宋" w:hAnsi="仿宋" w:eastAsia="仿宋" w:cs="仿宋"/>
          <w:color w:val="auto"/>
          <w:sz w:val="32"/>
          <w:szCs w:val="32"/>
          <w:highlight w:val="none"/>
          <w:u w:val="none"/>
          <w:lang w:val="en-US" w:eastAsia="zh-CN" w:bidi="ar-SA"/>
        </w:rPr>
        <w:t>2475</w:t>
      </w:r>
      <w:r>
        <w:rPr>
          <w:rFonts w:hint="eastAsia" w:ascii="仿宋" w:hAnsi="仿宋" w:eastAsia="仿宋" w:cs="仿宋"/>
          <w:color w:val="auto"/>
          <w:sz w:val="32"/>
          <w:szCs w:val="32"/>
          <w:highlight w:val="none"/>
          <w:u w:val="none"/>
          <w:lang w:bidi="ar-SA"/>
        </w:rPr>
        <w:t>人</w:t>
      </w:r>
      <w:r>
        <w:rPr>
          <w:rFonts w:hint="eastAsia" w:ascii="仿宋" w:hAnsi="仿宋" w:eastAsia="仿宋" w:cs="仿宋"/>
          <w:color w:val="auto"/>
          <w:sz w:val="32"/>
          <w:szCs w:val="32"/>
          <w:highlight w:val="none"/>
          <w:u w:val="none"/>
          <w:lang w:eastAsia="zh-CN" w:bidi="ar-SA"/>
        </w:rPr>
        <w:t>，占比</w:t>
      </w:r>
      <w:r>
        <w:rPr>
          <w:rFonts w:hint="eastAsia" w:ascii="仿宋" w:hAnsi="仿宋" w:eastAsia="仿宋" w:cs="仿宋"/>
          <w:color w:val="auto"/>
          <w:sz w:val="32"/>
          <w:szCs w:val="32"/>
          <w:highlight w:val="none"/>
          <w:u w:val="none"/>
          <w:lang w:val="en-US" w:eastAsia="zh-CN" w:bidi="ar-SA"/>
        </w:rPr>
        <w:t>23.78%；</w:t>
      </w:r>
      <w:r>
        <w:rPr>
          <w:rFonts w:hint="eastAsia" w:ascii="仿宋" w:hAnsi="仿宋" w:eastAsia="仿宋" w:cs="仿宋"/>
          <w:color w:val="auto"/>
          <w:sz w:val="32"/>
          <w:szCs w:val="32"/>
          <w:highlight w:val="none"/>
          <w:u w:val="none"/>
          <w:lang w:bidi="ar-SA"/>
        </w:rPr>
        <w:t>专科</w:t>
      </w:r>
      <w:r>
        <w:rPr>
          <w:rFonts w:hint="eastAsia" w:ascii="仿宋" w:hAnsi="仿宋" w:eastAsia="仿宋" w:cs="仿宋"/>
          <w:color w:val="auto"/>
          <w:sz w:val="32"/>
          <w:szCs w:val="32"/>
          <w:highlight w:val="none"/>
          <w:u w:val="none"/>
          <w:lang w:val="en-US" w:eastAsia="zh-CN" w:bidi="ar-SA"/>
        </w:rPr>
        <w:t>7935</w:t>
      </w:r>
      <w:r>
        <w:rPr>
          <w:rFonts w:hint="eastAsia" w:ascii="仿宋" w:hAnsi="仿宋" w:eastAsia="仿宋" w:cs="仿宋"/>
          <w:color w:val="auto"/>
          <w:sz w:val="32"/>
          <w:szCs w:val="32"/>
          <w:highlight w:val="none"/>
          <w:u w:val="none"/>
          <w:lang w:bidi="ar-SA"/>
        </w:rPr>
        <w:t>人</w:t>
      </w:r>
      <w:r>
        <w:rPr>
          <w:rFonts w:hint="eastAsia" w:ascii="仿宋" w:hAnsi="仿宋" w:eastAsia="仿宋" w:cs="仿宋"/>
          <w:color w:val="auto"/>
          <w:sz w:val="32"/>
          <w:szCs w:val="32"/>
          <w:highlight w:val="none"/>
          <w:u w:val="none"/>
          <w:lang w:eastAsia="zh-CN" w:bidi="ar-SA"/>
        </w:rPr>
        <w:t>，</w:t>
      </w:r>
      <w:r>
        <w:rPr>
          <w:rFonts w:hint="eastAsia" w:ascii="仿宋" w:hAnsi="仿宋" w:eastAsia="仿宋" w:cs="仿宋"/>
          <w:color w:val="auto"/>
          <w:sz w:val="32"/>
          <w:szCs w:val="32"/>
          <w:highlight w:val="none"/>
          <w:u w:val="none"/>
          <w:lang w:bidi="ar-SA"/>
        </w:rPr>
        <w:t>占</w:t>
      </w:r>
      <w:r>
        <w:rPr>
          <w:rFonts w:hint="eastAsia" w:ascii="仿宋" w:hAnsi="仿宋" w:eastAsia="仿宋" w:cs="仿宋"/>
          <w:color w:val="auto"/>
          <w:sz w:val="32"/>
          <w:szCs w:val="32"/>
          <w:highlight w:val="none"/>
          <w:u w:val="none"/>
          <w:lang w:eastAsia="zh-CN" w:bidi="ar-SA"/>
        </w:rPr>
        <w:t>比</w:t>
      </w:r>
      <w:r>
        <w:rPr>
          <w:rFonts w:hint="eastAsia" w:ascii="仿宋" w:hAnsi="仿宋" w:eastAsia="仿宋" w:cs="仿宋"/>
          <w:color w:val="auto"/>
          <w:sz w:val="32"/>
          <w:szCs w:val="32"/>
          <w:highlight w:val="none"/>
          <w:u w:val="none"/>
          <w:lang w:val="en-US" w:eastAsia="zh-CN" w:bidi="ar-SA"/>
        </w:rPr>
        <w:t>76.22</w:t>
      </w:r>
      <w:r>
        <w:rPr>
          <w:rFonts w:hint="eastAsia" w:ascii="仿宋" w:hAnsi="仿宋" w:eastAsia="仿宋" w:cs="仿宋"/>
          <w:color w:val="auto"/>
          <w:sz w:val="32"/>
          <w:szCs w:val="32"/>
          <w:highlight w:val="none"/>
          <w:u w:val="none"/>
          <w:lang w:bidi="ar-SA"/>
        </w:rPr>
        <w:t xml:space="preserve"> </w:t>
      </w:r>
      <w:r>
        <w:rPr>
          <w:rStyle w:val="11"/>
          <w:rFonts w:hint="eastAsia" w:ascii="仿宋" w:hAnsi="仿宋" w:eastAsia="仿宋" w:cs="仿宋"/>
          <w:color w:val="auto"/>
          <w:sz w:val="32"/>
          <w:szCs w:val="32"/>
          <w:highlight w:val="none"/>
          <w:u w:val="none"/>
          <w:shd w:val="clear" w:color="auto" w:fill="FFFFFF"/>
          <w:lang w:bidi="ar-SA"/>
        </w:rPr>
        <w:t>%</w:t>
      </w:r>
      <w:r>
        <w:rPr>
          <w:rFonts w:hint="eastAsia" w:ascii="仿宋" w:hAnsi="仿宋" w:eastAsia="仿宋" w:cs="仿宋"/>
          <w:color w:val="auto"/>
          <w:sz w:val="32"/>
          <w:szCs w:val="32"/>
          <w:highlight w:val="none"/>
          <w:u w:val="none"/>
          <w:lang w:bidi="ar-SA"/>
        </w:rPr>
        <w:t>。</w:t>
      </w:r>
      <w:r>
        <w:rPr>
          <w:rFonts w:hint="eastAsia" w:ascii="仿宋" w:hAnsi="仿宋" w:eastAsia="仿宋" w:cs="仿宋"/>
          <w:color w:val="auto"/>
          <w:sz w:val="32"/>
          <w:szCs w:val="32"/>
          <w:highlight w:val="none"/>
          <w:u w:val="none"/>
          <w:lang w:val="en-US" w:eastAsia="zh-CN" w:bidi="ar-SA"/>
        </w:rPr>
        <w:t>2020年</w:t>
      </w:r>
      <w:r>
        <w:rPr>
          <w:rFonts w:hint="eastAsia" w:ascii="仿宋" w:hAnsi="仿宋" w:eastAsia="仿宋" w:cs="仿宋"/>
          <w:color w:val="auto"/>
          <w:kern w:val="2"/>
          <w:sz w:val="32"/>
          <w:szCs w:val="32"/>
          <w:highlight w:val="none"/>
          <w:u w:val="none"/>
          <w:lang w:val="en-US" w:eastAsia="zh-CN" w:bidi="ar-SA"/>
        </w:rPr>
        <w:t>共培养开放教育毕业生共3063人，同比减少13.47%。</w:t>
      </w:r>
      <w:r>
        <w:rPr>
          <w:rFonts w:hint="eastAsia" w:ascii="仿宋" w:hAnsi="仿宋" w:eastAsia="仿宋" w:cs="仿宋"/>
          <w:color w:val="auto"/>
          <w:sz w:val="32"/>
          <w:szCs w:val="32"/>
          <w:highlight w:val="none"/>
          <w:u w:val="none"/>
          <w:lang w:bidi="ar-SA"/>
        </w:rPr>
        <w:t>其中</w:t>
      </w:r>
      <w:r>
        <w:rPr>
          <w:rFonts w:hint="eastAsia" w:ascii="仿宋" w:hAnsi="仿宋" w:eastAsia="仿宋" w:cs="仿宋"/>
          <w:color w:val="auto"/>
          <w:sz w:val="32"/>
          <w:szCs w:val="32"/>
          <w:highlight w:val="none"/>
          <w:u w:val="none"/>
          <w:lang w:eastAsia="zh-CN" w:bidi="ar-SA"/>
        </w:rPr>
        <w:t>，</w:t>
      </w:r>
      <w:r>
        <w:rPr>
          <w:rFonts w:hint="eastAsia" w:ascii="仿宋" w:hAnsi="仿宋" w:eastAsia="仿宋" w:cs="仿宋"/>
          <w:color w:val="auto"/>
          <w:sz w:val="32"/>
          <w:szCs w:val="32"/>
          <w:highlight w:val="none"/>
          <w:u w:val="none"/>
          <w:lang w:bidi="ar-SA"/>
        </w:rPr>
        <w:t>本科</w:t>
      </w:r>
      <w:r>
        <w:rPr>
          <w:rFonts w:hint="eastAsia" w:ascii="仿宋" w:hAnsi="仿宋" w:eastAsia="仿宋" w:cs="仿宋"/>
          <w:color w:val="auto"/>
          <w:sz w:val="32"/>
          <w:szCs w:val="32"/>
          <w:highlight w:val="none"/>
          <w:u w:val="none"/>
          <w:lang w:val="en-US" w:eastAsia="zh-CN" w:bidi="ar-SA"/>
        </w:rPr>
        <w:t>1037</w:t>
      </w:r>
      <w:r>
        <w:rPr>
          <w:rFonts w:hint="eastAsia" w:ascii="仿宋" w:hAnsi="仿宋" w:eastAsia="仿宋" w:cs="仿宋"/>
          <w:color w:val="auto"/>
          <w:sz w:val="32"/>
          <w:szCs w:val="32"/>
          <w:highlight w:val="none"/>
          <w:u w:val="none"/>
          <w:lang w:bidi="ar-SA"/>
        </w:rPr>
        <w:t>人</w:t>
      </w:r>
      <w:r>
        <w:rPr>
          <w:rFonts w:hint="eastAsia" w:ascii="仿宋" w:hAnsi="仿宋" w:eastAsia="仿宋" w:cs="仿宋"/>
          <w:color w:val="auto"/>
          <w:sz w:val="32"/>
          <w:szCs w:val="32"/>
          <w:highlight w:val="none"/>
          <w:u w:val="none"/>
          <w:lang w:eastAsia="zh-CN" w:bidi="ar-SA"/>
        </w:rPr>
        <w:t>，占比</w:t>
      </w:r>
      <w:r>
        <w:rPr>
          <w:rFonts w:hint="eastAsia" w:ascii="仿宋" w:hAnsi="仿宋" w:eastAsia="仿宋" w:cs="仿宋"/>
          <w:color w:val="auto"/>
          <w:sz w:val="32"/>
          <w:szCs w:val="32"/>
          <w:highlight w:val="none"/>
          <w:u w:val="none"/>
          <w:lang w:val="en-US" w:eastAsia="zh-CN" w:bidi="ar-SA"/>
        </w:rPr>
        <w:t>33.86%；</w:t>
      </w:r>
      <w:r>
        <w:rPr>
          <w:rFonts w:hint="eastAsia" w:ascii="仿宋" w:hAnsi="仿宋" w:eastAsia="仿宋" w:cs="仿宋"/>
          <w:color w:val="auto"/>
          <w:sz w:val="32"/>
          <w:szCs w:val="32"/>
          <w:highlight w:val="none"/>
          <w:u w:val="none"/>
          <w:lang w:bidi="ar-SA"/>
        </w:rPr>
        <w:t>专科</w:t>
      </w:r>
      <w:r>
        <w:rPr>
          <w:rFonts w:hint="eastAsia" w:ascii="仿宋" w:hAnsi="仿宋" w:eastAsia="仿宋" w:cs="仿宋"/>
          <w:color w:val="auto"/>
          <w:sz w:val="32"/>
          <w:szCs w:val="32"/>
          <w:highlight w:val="none"/>
          <w:u w:val="none"/>
          <w:lang w:val="en-US" w:eastAsia="zh-CN" w:bidi="ar-SA"/>
        </w:rPr>
        <w:t>2026</w:t>
      </w:r>
      <w:r>
        <w:rPr>
          <w:rFonts w:hint="eastAsia" w:ascii="仿宋" w:hAnsi="仿宋" w:eastAsia="仿宋" w:cs="仿宋"/>
          <w:color w:val="auto"/>
          <w:sz w:val="32"/>
          <w:szCs w:val="32"/>
          <w:highlight w:val="none"/>
          <w:u w:val="none"/>
          <w:lang w:bidi="ar-SA"/>
        </w:rPr>
        <w:t>人</w:t>
      </w:r>
      <w:r>
        <w:rPr>
          <w:rFonts w:hint="eastAsia" w:ascii="仿宋" w:hAnsi="仿宋" w:eastAsia="仿宋" w:cs="仿宋"/>
          <w:color w:val="auto"/>
          <w:sz w:val="32"/>
          <w:szCs w:val="32"/>
          <w:highlight w:val="none"/>
          <w:u w:val="none"/>
          <w:lang w:eastAsia="zh-CN" w:bidi="ar-SA"/>
        </w:rPr>
        <w:t>，占比</w:t>
      </w:r>
      <w:r>
        <w:rPr>
          <w:rFonts w:hint="eastAsia" w:ascii="仿宋" w:hAnsi="仿宋" w:eastAsia="仿宋" w:cs="仿宋"/>
          <w:color w:val="auto"/>
          <w:sz w:val="32"/>
          <w:szCs w:val="32"/>
          <w:highlight w:val="none"/>
          <w:u w:val="none"/>
          <w:lang w:val="en-US" w:eastAsia="zh-CN" w:bidi="ar-SA"/>
        </w:rPr>
        <w:t>66.14%</w:t>
      </w:r>
      <w:r>
        <w:rPr>
          <w:rFonts w:hint="eastAsia" w:ascii="仿宋" w:hAnsi="仿宋" w:eastAsia="仿宋" w:cs="仿宋"/>
          <w:color w:val="auto"/>
          <w:kern w:val="2"/>
          <w:sz w:val="32"/>
          <w:szCs w:val="32"/>
          <w:highlight w:val="none"/>
          <w:u w:val="none"/>
          <w:lang w:val="en-US" w:eastAsia="zh-CN" w:bidi="ar-SA"/>
        </w:rPr>
        <w:t>。学校未开展成人高等专科教育和高职扩招。</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w:t>
      </w:r>
      <w:r>
        <w:rPr>
          <w:rFonts w:hint="eastAsia" w:ascii="仿宋" w:hAnsi="仿宋" w:eastAsia="仿宋" w:cs="仿宋"/>
          <w:color w:val="auto"/>
          <w:kern w:val="0"/>
          <w:sz w:val="28"/>
          <w:szCs w:val="28"/>
          <w:highlight w:val="none"/>
          <w:lang w:bidi="ar-SA"/>
        </w:rPr>
        <w:t>-</w:t>
      </w:r>
      <w:r>
        <w:rPr>
          <w:rFonts w:hint="eastAsia" w:ascii="仿宋" w:hAnsi="仿宋" w:eastAsia="仿宋" w:cs="仿宋"/>
          <w:color w:val="auto"/>
          <w:kern w:val="0"/>
          <w:sz w:val="28"/>
          <w:szCs w:val="28"/>
          <w:highlight w:val="none"/>
          <w:lang w:val="en-US" w:eastAsia="zh-CN" w:bidi="ar-SA"/>
        </w:rPr>
        <w:t>1</w:t>
      </w:r>
      <w:r>
        <w:rPr>
          <w:rFonts w:hint="eastAsia" w:ascii="仿宋" w:hAnsi="仿宋" w:eastAsia="仿宋" w:cs="仿宋"/>
          <w:color w:val="auto"/>
          <w:kern w:val="0"/>
          <w:sz w:val="28"/>
          <w:szCs w:val="28"/>
          <w:highlight w:val="none"/>
          <w:lang w:bidi="ar-SA"/>
        </w:rPr>
        <w:t xml:space="preserve"> </w:t>
      </w:r>
      <w:r>
        <w:rPr>
          <w:rFonts w:hint="eastAsia" w:ascii="仿宋" w:hAnsi="仿宋" w:eastAsia="仿宋" w:cs="仿宋"/>
          <w:color w:val="auto"/>
          <w:kern w:val="0"/>
          <w:sz w:val="28"/>
          <w:szCs w:val="28"/>
          <w:highlight w:val="none"/>
          <w:lang w:val="en-US" w:eastAsia="zh-CN" w:bidi="ar-SA"/>
        </w:rPr>
        <w:t>2020年度学历教育</w:t>
      </w:r>
      <w:r>
        <w:rPr>
          <w:rFonts w:hint="eastAsia" w:ascii="仿宋" w:hAnsi="仿宋" w:eastAsia="仿宋" w:cs="仿宋"/>
          <w:color w:val="auto"/>
          <w:kern w:val="0"/>
          <w:sz w:val="28"/>
          <w:szCs w:val="28"/>
          <w:highlight w:val="none"/>
          <w:lang w:eastAsia="zh-CN" w:bidi="ar-SA"/>
        </w:rPr>
        <w:t>在籍</w:t>
      </w:r>
      <w:r>
        <w:rPr>
          <w:rFonts w:hint="eastAsia" w:ascii="仿宋" w:hAnsi="仿宋" w:eastAsia="仿宋" w:cs="仿宋"/>
          <w:color w:val="auto"/>
          <w:kern w:val="0"/>
          <w:sz w:val="28"/>
          <w:szCs w:val="28"/>
          <w:highlight w:val="none"/>
          <w:lang w:bidi="ar-SA"/>
        </w:rPr>
        <w:t>生人数</w:t>
      </w:r>
    </w:p>
    <w:tbl>
      <w:tblPr>
        <w:tblStyle w:val="7"/>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2184"/>
        <w:gridCol w:w="1837"/>
        <w:gridCol w:w="1654"/>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exact"/>
          <w:jc w:val="center"/>
        </w:trPr>
        <w:tc>
          <w:tcPr>
            <w:tcW w:w="1227"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层次</w:t>
            </w:r>
          </w:p>
        </w:tc>
        <w:tc>
          <w:tcPr>
            <w:tcW w:w="2184"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类型</w:t>
            </w:r>
          </w:p>
        </w:tc>
        <w:tc>
          <w:tcPr>
            <w:tcW w:w="1837"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rPr>
              <w:t>在籍生人数</w:t>
            </w:r>
          </w:p>
        </w:tc>
        <w:tc>
          <w:tcPr>
            <w:tcW w:w="1654"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招生人数</w:t>
            </w:r>
          </w:p>
        </w:tc>
        <w:tc>
          <w:tcPr>
            <w:tcW w:w="1822"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本科</w:t>
            </w:r>
          </w:p>
        </w:tc>
        <w:tc>
          <w:tcPr>
            <w:tcW w:w="218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开放本科</w:t>
            </w:r>
          </w:p>
        </w:tc>
        <w:tc>
          <w:tcPr>
            <w:tcW w:w="18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2475</w:t>
            </w:r>
          </w:p>
        </w:tc>
        <w:tc>
          <w:tcPr>
            <w:tcW w:w="165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756</w:t>
            </w:r>
          </w:p>
        </w:tc>
        <w:tc>
          <w:tcPr>
            <w:tcW w:w="182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专科</w:t>
            </w:r>
          </w:p>
        </w:tc>
        <w:tc>
          <w:tcPr>
            <w:tcW w:w="218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开放专科</w:t>
            </w:r>
          </w:p>
        </w:tc>
        <w:tc>
          <w:tcPr>
            <w:tcW w:w="18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7935</w:t>
            </w:r>
          </w:p>
        </w:tc>
        <w:tc>
          <w:tcPr>
            <w:tcW w:w="165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1396</w:t>
            </w:r>
          </w:p>
        </w:tc>
        <w:tc>
          <w:tcPr>
            <w:tcW w:w="182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1"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合计</w:t>
            </w:r>
          </w:p>
        </w:tc>
        <w:tc>
          <w:tcPr>
            <w:tcW w:w="18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spacing w:line="360" w:lineRule="exact"/>
              <w:jc w:val="center"/>
              <w:textAlignment w:val="center"/>
              <w:rPr>
                <w:rFonts w:hint="eastAsia" w:ascii="仿宋" w:hAnsi="仿宋" w:eastAsia="仿宋" w:cs="仿宋"/>
                <w:i w:val="0"/>
                <w:color w:val="auto"/>
                <w:kern w:val="2"/>
                <w:sz w:val="28"/>
                <w:szCs w:val="28"/>
                <w:highlight w:val="none"/>
                <w:u w:val="none"/>
                <w:lang w:val="en-US" w:eastAsia="zh-CN" w:bidi="ar-SA"/>
              </w:rPr>
            </w:pPr>
            <w:r>
              <w:rPr>
                <w:rFonts w:hint="eastAsia" w:ascii="仿宋" w:hAnsi="仿宋" w:eastAsia="仿宋" w:cs="仿宋"/>
                <w:color w:val="auto"/>
                <w:kern w:val="0"/>
                <w:sz w:val="28"/>
                <w:szCs w:val="28"/>
                <w:highlight w:val="none"/>
                <w:vertAlign w:val="baseline"/>
                <w:lang w:val="en-US" w:eastAsia="zh-CN" w:bidi="ar-SA"/>
              </w:rPr>
              <w:t>10410</w:t>
            </w:r>
          </w:p>
        </w:tc>
        <w:tc>
          <w:tcPr>
            <w:tcW w:w="165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2152</w:t>
            </w:r>
          </w:p>
        </w:tc>
        <w:tc>
          <w:tcPr>
            <w:tcW w:w="182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3063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1"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合计全省排名</w:t>
            </w:r>
          </w:p>
        </w:tc>
        <w:tc>
          <w:tcPr>
            <w:tcW w:w="18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7</w:t>
            </w:r>
          </w:p>
        </w:tc>
        <w:tc>
          <w:tcPr>
            <w:tcW w:w="165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8</w:t>
            </w:r>
          </w:p>
        </w:tc>
        <w:tc>
          <w:tcPr>
            <w:tcW w:w="182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5</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非学历教育</w:t>
      </w:r>
      <w:r>
        <w:rPr>
          <w:rFonts w:hint="eastAsia" w:ascii="楷体" w:hAnsi="楷体" w:eastAsia="楷体" w:cs="楷体"/>
          <w:b w:val="0"/>
          <w:bCs w:val="0"/>
          <w:color w:val="auto"/>
          <w:sz w:val="32"/>
          <w:szCs w:val="32"/>
          <w:highlight w:val="none"/>
          <w:lang w:val="en-US" w:eastAsia="zh-CN"/>
        </w:rPr>
        <w:t>整体培养</w:t>
      </w:r>
      <w:r>
        <w:rPr>
          <w:rFonts w:hint="eastAsia" w:ascii="楷体" w:hAnsi="楷体" w:eastAsia="楷体" w:cs="楷体"/>
          <w:b w:val="0"/>
          <w:bCs w:val="0"/>
          <w:color w:val="auto"/>
          <w:sz w:val="32"/>
          <w:szCs w:val="32"/>
          <w:highlight w:val="none"/>
          <w:lang w:eastAsia="zh-CN"/>
        </w:rPr>
        <w:t>情况</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color w:val="auto"/>
          <w:sz w:val="32"/>
          <w:szCs w:val="32"/>
          <w:highlight w:val="none"/>
          <w:u w:val="none"/>
          <w:lang w:val="en-US" w:eastAsia="zh-CN" w:bidi="ar-SA"/>
        </w:rPr>
      </w:pPr>
      <w:r>
        <w:rPr>
          <w:rFonts w:hint="eastAsia" w:ascii="仿宋" w:hAnsi="仿宋" w:eastAsia="仿宋" w:cs="仿宋"/>
          <w:color w:val="auto"/>
          <w:sz w:val="32"/>
          <w:szCs w:val="32"/>
          <w:highlight w:val="none"/>
          <w:u w:val="none"/>
          <w:lang w:val="en-US" w:eastAsia="zh-CN" w:bidi="ar-SA"/>
        </w:rPr>
        <w:t>2020年非学历继续教育项目5个，开设培训班104个，培训规模达38230人次，</w:t>
      </w:r>
      <w:r>
        <w:rPr>
          <w:rFonts w:hint="eastAsia" w:ascii="仿宋" w:hAnsi="仿宋" w:eastAsia="仿宋" w:cs="仿宋"/>
          <w:color w:val="auto"/>
          <w:kern w:val="0"/>
          <w:sz w:val="32"/>
          <w:szCs w:val="32"/>
          <w:highlight w:val="none"/>
          <w:u w:val="none"/>
          <w:lang w:val="en-US" w:eastAsia="zh-CN" w:bidi="ar-SA"/>
        </w:rPr>
        <w:t>同比增长</w:t>
      </w:r>
      <w:r>
        <w:rPr>
          <w:rFonts w:hint="eastAsia" w:ascii="仿宋" w:hAnsi="仿宋" w:eastAsia="仿宋" w:cs="仿宋"/>
          <w:color w:val="auto"/>
          <w:sz w:val="32"/>
          <w:szCs w:val="32"/>
          <w:highlight w:val="none"/>
          <w:u w:val="none"/>
          <w:lang w:val="en-US" w:eastAsia="zh-CN" w:bidi="ar-SA"/>
        </w:rPr>
        <w:t>12</w:t>
      </w:r>
      <w:r>
        <w:rPr>
          <w:rFonts w:hint="eastAsia" w:ascii="仿宋" w:hAnsi="仿宋" w:eastAsia="仿宋" w:cs="仿宋"/>
          <w:color w:val="auto"/>
          <w:kern w:val="0"/>
          <w:sz w:val="32"/>
          <w:szCs w:val="32"/>
          <w:highlight w:val="none"/>
          <w:u w:val="none"/>
          <w:lang w:val="en-US" w:eastAsia="zh-CN" w:bidi="ar-SA"/>
        </w:rPr>
        <w:t>%</w:t>
      </w:r>
      <w:r>
        <w:rPr>
          <w:rFonts w:hint="eastAsia" w:ascii="仿宋" w:hAnsi="仿宋" w:eastAsia="仿宋" w:cs="仿宋"/>
          <w:color w:val="auto"/>
          <w:sz w:val="32"/>
          <w:szCs w:val="32"/>
          <w:highlight w:val="none"/>
          <w:u w:val="none"/>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w:t>
      </w:r>
      <w:r>
        <w:rPr>
          <w:rFonts w:hint="eastAsia" w:ascii="仿宋" w:hAnsi="仿宋" w:eastAsia="仿宋" w:cs="仿宋"/>
          <w:color w:val="auto"/>
          <w:kern w:val="0"/>
          <w:sz w:val="28"/>
          <w:szCs w:val="28"/>
          <w:highlight w:val="none"/>
          <w:lang w:bidi="ar-SA"/>
        </w:rPr>
        <w:t>-</w:t>
      </w:r>
      <w:r>
        <w:rPr>
          <w:rFonts w:hint="eastAsia" w:ascii="仿宋" w:hAnsi="仿宋" w:eastAsia="仿宋" w:cs="仿宋"/>
          <w:color w:val="auto"/>
          <w:kern w:val="0"/>
          <w:sz w:val="28"/>
          <w:szCs w:val="28"/>
          <w:highlight w:val="none"/>
          <w:lang w:val="en-US" w:eastAsia="zh-CN" w:bidi="ar-SA"/>
        </w:rPr>
        <w:t>2 2020年度非学历教育情况</w:t>
      </w:r>
    </w:p>
    <w:tbl>
      <w:tblPr>
        <w:tblStyle w:val="7"/>
        <w:tblW w:w="8580" w:type="dxa"/>
        <w:jc w:val="center"/>
        <w:tblLayout w:type="fixed"/>
        <w:tblCellMar>
          <w:top w:w="0" w:type="dxa"/>
          <w:left w:w="108" w:type="dxa"/>
          <w:bottom w:w="0" w:type="dxa"/>
          <w:right w:w="108" w:type="dxa"/>
        </w:tblCellMar>
      </w:tblPr>
      <w:tblGrid>
        <w:gridCol w:w="441"/>
        <w:gridCol w:w="891"/>
        <w:gridCol w:w="4745"/>
        <w:gridCol w:w="855"/>
        <w:gridCol w:w="1648"/>
      </w:tblGrid>
      <w:tr>
        <w:tblPrEx>
          <w:tblCellMar>
            <w:top w:w="0" w:type="dxa"/>
            <w:left w:w="108" w:type="dxa"/>
            <w:bottom w:w="0" w:type="dxa"/>
            <w:right w:w="108" w:type="dxa"/>
          </w:tblCellMar>
        </w:tblPrEx>
        <w:trPr>
          <w:trHeight w:val="486" w:hRule="atLeast"/>
          <w:jc w:val="center"/>
        </w:trPr>
        <w:tc>
          <w:tcPr>
            <w:tcW w:w="441"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序号</w:t>
            </w:r>
          </w:p>
        </w:tc>
        <w:tc>
          <w:tcPr>
            <w:tcW w:w="891"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行业</w:t>
            </w:r>
          </w:p>
        </w:tc>
        <w:tc>
          <w:tcPr>
            <w:tcW w:w="4745"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培训对象</w:t>
            </w:r>
          </w:p>
        </w:tc>
        <w:tc>
          <w:tcPr>
            <w:tcW w:w="855"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班次</w:t>
            </w:r>
          </w:p>
        </w:tc>
        <w:tc>
          <w:tcPr>
            <w:tcW w:w="1648"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人次</w:t>
            </w:r>
          </w:p>
        </w:tc>
      </w:tr>
      <w:tr>
        <w:tblPrEx>
          <w:tblCellMar>
            <w:top w:w="0" w:type="dxa"/>
            <w:left w:w="108" w:type="dxa"/>
            <w:bottom w:w="0" w:type="dxa"/>
            <w:right w:w="108" w:type="dxa"/>
          </w:tblCellMar>
        </w:tblPrEx>
        <w:trPr>
          <w:trHeight w:val="660" w:hRule="atLeast"/>
          <w:jc w:val="center"/>
        </w:trPr>
        <w:tc>
          <w:tcPr>
            <w:tcW w:w="44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1</w:t>
            </w:r>
          </w:p>
        </w:tc>
        <w:tc>
          <w:tcPr>
            <w:tcW w:w="89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社区</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公益</w:t>
            </w:r>
          </w:p>
        </w:tc>
        <w:tc>
          <w:tcPr>
            <w:tcW w:w="474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社区干部、社区居民</w:t>
            </w:r>
          </w:p>
        </w:tc>
        <w:tc>
          <w:tcPr>
            <w:tcW w:w="85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102</w:t>
            </w:r>
          </w:p>
        </w:tc>
        <w:tc>
          <w:tcPr>
            <w:tcW w:w="164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38000</w:t>
            </w:r>
          </w:p>
        </w:tc>
      </w:tr>
      <w:tr>
        <w:tblPrEx>
          <w:tblCellMar>
            <w:top w:w="0" w:type="dxa"/>
            <w:left w:w="108" w:type="dxa"/>
            <w:bottom w:w="0" w:type="dxa"/>
            <w:right w:w="108" w:type="dxa"/>
          </w:tblCellMar>
        </w:tblPrEx>
        <w:trPr>
          <w:trHeight w:val="567" w:hRule="atLeast"/>
          <w:jc w:val="center"/>
        </w:trPr>
        <w:tc>
          <w:tcPr>
            <w:tcW w:w="44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bidi="ar-SA"/>
              </w:rPr>
            </w:pPr>
            <w:r>
              <w:rPr>
                <w:rFonts w:hint="eastAsia" w:ascii="仿宋" w:hAnsi="仿宋" w:eastAsia="仿宋" w:cs="仿宋"/>
                <w:color w:val="auto"/>
                <w:kern w:val="0"/>
                <w:sz w:val="28"/>
                <w:szCs w:val="28"/>
                <w:highlight w:val="none"/>
                <w:lang w:val="en-US" w:eastAsia="zh-CN" w:bidi="ar-SA"/>
              </w:rPr>
              <w:t>2</w:t>
            </w:r>
          </w:p>
        </w:tc>
        <w:tc>
          <w:tcPr>
            <w:tcW w:w="89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事业</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单位</w:t>
            </w:r>
          </w:p>
        </w:tc>
        <w:tc>
          <w:tcPr>
            <w:tcW w:w="474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南昌市教育系统平安校园安全管理干部、南昌市中小学法治教师</w:t>
            </w:r>
          </w:p>
        </w:tc>
        <w:tc>
          <w:tcPr>
            <w:tcW w:w="85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w:t>
            </w:r>
          </w:p>
        </w:tc>
        <w:tc>
          <w:tcPr>
            <w:tcW w:w="164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230</w:t>
            </w:r>
          </w:p>
        </w:tc>
      </w:tr>
      <w:tr>
        <w:tblPrEx>
          <w:tblCellMar>
            <w:top w:w="0" w:type="dxa"/>
            <w:left w:w="108" w:type="dxa"/>
            <w:bottom w:w="0" w:type="dxa"/>
            <w:right w:w="108" w:type="dxa"/>
          </w:tblCellMar>
        </w:tblPrEx>
        <w:trPr>
          <w:trHeight w:val="454" w:hRule="exact"/>
          <w:jc w:val="center"/>
        </w:trPr>
        <w:tc>
          <w:tcPr>
            <w:tcW w:w="6077"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合计</w:t>
            </w:r>
          </w:p>
        </w:tc>
        <w:tc>
          <w:tcPr>
            <w:tcW w:w="85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104</w:t>
            </w:r>
          </w:p>
        </w:tc>
        <w:tc>
          <w:tcPr>
            <w:tcW w:w="164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38230</w:t>
            </w:r>
          </w:p>
        </w:tc>
      </w:tr>
      <w:tr>
        <w:tblPrEx>
          <w:tblCellMar>
            <w:top w:w="0" w:type="dxa"/>
            <w:left w:w="108" w:type="dxa"/>
            <w:bottom w:w="0" w:type="dxa"/>
            <w:right w:w="108" w:type="dxa"/>
          </w:tblCellMar>
        </w:tblPrEx>
        <w:trPr>
          <w:trHeight w:val="454" w:hRule="exact"/>
          <w:jc w:val="center"/>
        </w:trPr>
        <w:tc>
          <w:tcPr>
            <w:tcW w:w="6077"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全省排名</w:t>
            </w:r>
          </w:p>
        </w:tc>
        <w:tc>
          <w:tcPr>
            <w:tcW w:w="85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w:t>
            </w:r>
          </w:p>
        </w:tc>
        <w:tc>
          <w:tcPr>
            <w:tcW w:w="164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w:t>
            </w:r>
          </w:p>
        </w:tc>
      </w:tr>
    </w:tbl>
    <w:p>
      <w:pPr>
        <w:keepNext w:val="0"/>
        <w:keepLines w:val="0"/>
        <w:pageBreakBefore w:val="0"/>
        <w:widowControl w:val="0"/>
        <w:kinsoku/>
        <w:wordWrap/>
        <w:overflowPunct/>
        <w:topLinePunct w:val="0"/>
        <w:autoSpaceDE/>
        <w:autoSpaceDN/>
        <w:bidi w:val="0"/>
        <w:adjustRightInd w:val="0"/>
        <w:snapToGrid w:val="0"/>
        <w:spacing w:line="576" w:lineRule="exact"/>
        <w:ind w:left="0" w:firstLine="736" w:firstLineChars="230"/>
        <w:jc w:val="both"/>
        <w:textAlignment w:val="auto"/>
        <w:rPr>
          <w:rFonts w:hint="eastAsia" w:ascii="楷体" w:hAnsi="楷体" w:eastAsia="楷体" w:cs="楷体"/>
          <w:b w:val="0"/>
          <w:bCs w:val="0"/>
          <w:color w:val="auto"/>
          <w:sz w:val="32"/>
          <w:szCs w:val="32"/>
          <w:highlight w:val="none"/>
          <w:lang w:val="en-US" w:eastAsia="zh-CN" w:bidi="ar-SA"/>
        </w:rPr>
      </w:pPr>
      <w:r>
        <w:rPr>
          <w:rFonts w:hint="eastAsia" w:ascii="楷体" w:hAnsi="楷体" w:eastAsia="楷体" w:cs="楷体"/>
          <w:b w:val="0"/>
          <w:bCs w:val="0"/>
          <w:color w:val="auto"/>
          <w:sz w:val="32"/>
          <w:szCs w:val="32"/>
          <w:highlight w:val="none"/>
          <w:lang w:eastAsia="zh-CN" w:bidi="ar-SA"/>
        </w:rPr>
        <w:t>（</w:t>
      </w:r>
      <w:r>
        <w:rPr>
          <w:rFonts w:hint="eastAsia" w:ascii="楷体" w:hAnsi="楷体" w:eastAsia="楷体" w:cs="楷体"/>
          <w:b w:val="0"/>
          <w:bCs w:val="0"/>
          <w:color w:val="auto"/>
          <w:sz w:val="32"/>
          <w:szCs w:val="32"/>
          <w:highlight w:val="none"/>
          <w:lang w:val="en-US" w:eastAsia="zh-CN" w:bidi="ar-SA"/>
        </w:rPr>
        <w:t>三）学校</w:t>
      </w:r>
      <w:r>
        <w:rPr>
          <w:rFonts w:hint="eastAsia" w:ascii="楷体" w:hAnsi="楷体" w:eastAsia="楷体" w:cs="楷体"/>
          <w:b w:val="0"/>
          <w:bCs w:val="0"/>
          <w:color w:val="auto"/>
          <w:sz w:val="32"/>
          <w:szCs w:val="32"/>
          <w:highlight w:val="none"/>
          <w:lang w:eastAsia="zh-CN" w:bidi="ar-SA"/>
        </w:rPr>
        <w:t>专业设置情况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32"/>
          <w:szCs w:val="32"/>
          <w:highlight w:val="none"/>
          <w:u w:val="none"/>
          <w:lang w:val="en-US" w:eastAsia="zh-CN" w:bidi="ar-SA"/>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专业共27</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同比增加1个。其中，本科11个，占比40.74%；专科16个，占比59.26%。</w:t>
      </w:r>
    </w:p>
    <w:p>
      <w:pPr>
        <w:pStyle w:val="2"/>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8"/>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noWrap w:val="0"/>
            <w:vAlign w:val="top"/>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187</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145</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公共事业管理（学校管理方向）</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144</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79</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65</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620</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82.02</w:t>
            </w:r>
          </w:p>
        </w:tc>
      </w:tr>
    </w:tbl>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bidi="ar-SA"/>
        </w:rPr>
      </w:pP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bidi="ar-SA"/>
        </w:rPr>
      </w:pP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bidi="ar-SA"/>
        </w:rPr>
      </w:pP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2-3</w:t>
      </w:r>
      <w:r>
        <w:rPr>
          <w:rFonts w:hint="eastAsia" w:ascii="仿宋" w:hAnsi="仿宋" w:eastAsia="仿宋" w:cs="仿宋"/>
          <w:color w:val="auto"/>
          <w:kern w:val="0"/>
          <w:sz w:val="28"/>
          <w:szCs w:val="28"/>
          <w:highlight w:val="none"/>
          <w:lang w:bidi="ar-SA"/>
        </w:rPr>
        <w:t>-</w:t>
      </w:r>
      <w:r>
        <w:rPr>
          <w:rFonts w:hint="eastAsia" w:ascii="仿宋" w:hAnsi="仿宋" w:eastAsia="仿宋" w:cs="仿宋"/>
          <w:color w:val="auto"/>
          <w:kern w:val="0"/>
          <w:sz w:val="28"/>
          <w:szCs w:val="28"/>
          <w:highlight w:val="none"/>
          <w:lang w:val="en-US" w:eastAsia="zh-CN" w:bidi="ar-SA"/>
        </w:rPr>
        <w:t>2 2020年度开放教育招生规模排名前五位的专科专业</w:t>
      </w:r>
    </w:p>
    <w:tbl>
      <w:tblPr>
        <w:tblStyle w:val="8"/>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工商企业管理</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412</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357</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法律事务</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83</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公共事务管理（学校及社会教育管理方向）</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80</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会计</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77</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1009</w:t>
            </w:r>
          </w:p>
        </w:tc>
        <w:tc>
          <w:tcPr>
            <w:tcW w:w="22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72.28</w:t>
            </w:r>
          </w:p>
        </w:tc>
      </w:tr>
    </w:tbl>
    <w:p>
      <w:pPr>
        <w:pStyle w:val="2"/>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0"/>
          <w:sz w:val="32"/>
          <w:szCs w:val="32"/>
          <w:highlight w:val="none"/>
          <w:lang w:eastAsia="zh-CN" w:bidi="ar-SA"/>
        </w:rPr>
        <w:t>（四）</w:t>
      </w:r>
      <w:r>
        <w:rPr>
          <w:rFonts w:hint="eastAsia" w:ascii="楷体" w:hAnsi="楷体" w:eastAsia="楷体" w:cs="楷体"/>
          <w:b w:val="0"/>
          <w:bCs w:val="0"/>
          <w:color w:val="auto"/>
          <w:kern w:val="2"/>
          <w:sz w:val="32"/>
          <w:szCs w:val="32"/>
          <w:highlight w:val="none"/>
          <w:lang w:val="en-US" w:eastAsia="zh-CN" w:bidi="ar-SA"/>
        </w:rPr>
        <w:t>质量提升综治工程</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1.质量保障制度</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2020年建立健全校内质量管理制度7项。</w:t>
      </w:r>
    </w:p>
    <w:p>
      <w:pPr>
        <w:keepNext w:val="0"/>
        <w:keepLines w:val="0"/>
        <w:pageBreakBefore w:val="0"/>
        <w:widowControl/>
        <w:kinsoku/>
        <w:wordWrap/>
        <w:overflowPunct/>
        <w:topLinePunct w:val="0"/>
        <w:autoSpaceDE/>
        <w:autoSpaceDN/>
        <w:bidi w:val="0"/>
        <w:adjustRightInd/>
        <w:snapToGrid/>
        <w:spacing w:line="576"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表2-4-1  2020年度重要规章制度建设情况</w:t>
      </w:r>
    </w:p>
    <w:tbl>
      <w:tblPr>
        <w:tblStyle w:val="7"/>
        <w:tblW w:w="10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2505"/>
        <w:gridCol w:w="7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52"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序号</w:t>
            </w:r>
          </w:p>
        </w:tc>
        <w:tc>
          <w:tcPr>
            <w:tcW w:w="2505"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类别</w:t>
            </w:r>
          </w:p>
        </w:tc>
        <w:tc>
          <w:tcPr>
            <w:tcW w:w="7112"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w:t>
            </w:r>
          </w:p>
        </w:tc>
        <w:tc>
          <w:tcPr>
            <w:tcW w:w="250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教育教学</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南昌</w:t>
            </w:r>
            <w:r>
              <w:rPr>
                <w:rFonts w:hint="eastAsia" w:ascii="仿宋" w:hAnsi="仿宋" w:eastAsia="仿宋" w:cs="仿宋"/>
                <w:color w:val="auto"/>
                <w:sz w:val="28"/>
                <w:szCs w:val="28"/>
                <w:highlight w:val="none"/>
                <w:lang w:eastAsia="zh-CN"/>
              </w:rPr>
              <w:t>市分校</w:t>
            </w:r>
            <w:r>
              <w:rPr>
                <w:rFonts w:hint="eastAsia" w:ascii="仿宋" w:hAnsi="仿宋" w:eastAsia="仿宋" w:cs="仿宋"/>
                <w:color w:val="auto"/>
                <w:sz w:val="28"/>
                <w:szCs w:val="28"/>
                <w:highlight w:val="none"/>
              </w:rPr>
              <w:t>2020年春季开放教育综合实践环节</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rPr>
              <w:t>教学工作安排的通知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w:t>
            </w:r>
          </w:p>
        </w:tc>
        <w:tc>
          <w:tcPr>
            <w:tcW w:w="250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转发《</w:t>
            </w:r>
            <w:r>
              <w:rPr>
                <w:rFonts w:hint="eastAsia" w:ascii="仿宋" w:hAnsi="仿宋" w:eastAsia="仿宋" w:cs="仿宋"/>
                <w:color w:val="auto"/>
                <w:sz w:val="28"/>
                <w:szCs w:val="28"/>
                <w:highlight w:val="none"/>
                <w:lang w:eastAsia="zh-CN"/>
              </w:rPr>
              <w:t>江西开放大学</w:t>
            </w:r>
            <w:r>
              <w:rPr>
                <w:rFonts w:hint="eastAsia" w:ascii="仿宋" w:hAnsi="仿宋" w:eastAsia="仿宋" w:cs="仿宋"/>
                <w:color w:val="auto"/>
                <w:sz w:val="28"/>
                <w:szCs w:val="28"/>
                <w:highlight w:val="none"/>
              </w:rPr>
              <w:t>关于做好疫情防控工作加强</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rPr>
              <w:t>教学支持服务的通知》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3</w:t>
            </w:r>
          </w:p>
        </w:tc>
        <w:tc>
          <w:tcPr>
            <w:tcW w:w="250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rPr>
              <w:t>2020年春季新生入学教育工作的通知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4</w:t>
            </w:r>
          </w:p>
        </w:tc>
        <w:tc>
          <w:tcPr>
            <w:tcW w:w="250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rPr>
              <w:t>开展2020春网络直播课的通知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5</w:t>
            </w:r>
          </w:p>
        </w:tc>
        <w:tc>
          <w:tcPr>
            <w:tcW w:w="250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eastAsia="zh-CN" w:bidi="ar-SA"/>
              </w:rPr>
            </w:pPr>
            <w:r>
              <w:rPr>
                <w:rFonts w:hint="eastAsia" w:ascii="仿宋" w:hAnsi="仿宋" w:eastAsia="仿宋" w:cs="仿宋"/>
                <w:color w:val="auto"/>
                <w:sz w:val="28"/>
                <w:szCs w:val="28"/>
                <w:highlight w:val="none"/>
                <w:lang w:eastAsia="zh-CN"/>
              </w:rPr>
              <w:t>思政</w:t>
            </w: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江西开放大学</w:t>
            </w:r>
            <w:r>
              <w:rPr>
                <w:rFonts w:hint="eastAsia" w:ascii="仿宋" w:hAnsi="仿宋" w:eastAsia="仿宋" w:cs="仿宋"/>
                <w:color w:val="auto"/>
                <w:sz w:val="28"/>
                <w:szCs w:val="28"/>
                <w:highlight w:val="none"/>
              </w:rPr>
              <w:t>南昌市分校党政领导干部带头</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rPr>
              <w:t>讲授思政课制度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6</w:t>
            </w:r>
          </w:p>
        </w:tc>
        <w:tc>
          <w:tcPr>
            <w:tcW w:w="250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eastAsia="zh-CN"/>
              </w:rPr>
              <w:t>江西开放大学</w:t>
            </w:r>
            <w:r>
              <w:rPr>
                <w:rFonts w:hint="eastAsia" w:ascii="仿宋" w:hAnsi="仿宋" w:eastAsia="仿宋" w:cs="仿宋"/>
                <w:color w:val="auto"/>
                <w:sz w:val="28"/>
                <w:szCs w:val="28"/>
                <w:highlight w:val="none"/>
              </w:rPr>
              <w:t>南昌市分校思政课教师工作规范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7</w:t>
            </w:r>
          </w:p>
        </w:tc>
        <w:tc>
          <w:tcPr>
            <w:tcW w:w="250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p>
        </w:tc>
        <w:tc>
          <w:tcPr>
            <w:tcW w:w="7112"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江西开放大学</w:t>
            </w:r>
            <w:r>
              <w:rPr>
                <w:rFonts w:hint="eastAsia" w:ascii="仿宋" w:hAnsi="仿宋" w:eastAsia="仿宋" w:cs="仿宋"/>
                <w:color w:val="auto"/>
                <w:sz w:val="28"/>
                <w:szCs w:val="28"/>
                <w:highlight w:val="none"/>
              </w:rPr>
              <w:t>南昌市分校思政课党政领导听课制度</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2.办学体系和招生管理</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截至2021年1月，全市办学系统由4个县级教学点构成，均为公办学校。2020年无新增与撤销教学点。2020年县级教学点2020年共招收学生1120人，</w:t>
      </w:r>
      <w:r>
        <w:rPr>
          <w:rFonts w:hint="eastAsia" w:ascii="仿宋" w:hAnsi="仿宋" w:eastAsia="仿宋" w:cs="仿宋"/>
          <w:b w:val="0"/>
          <w:bCs/>
          <w:color w:val="auto"/>
          <w:sz w:val="32"/>
          <w:szCs w:val="32"/>
          <w:highlight w:val="none"/>
          <w:lang w:val="en-US" w:eastAsia="zh-CN"/>
        </w:rPr>
        <w:t>占全市招生的52.04%</w:t>
      </w:r>
      <w:r>
        <w:rPr>
          <w:rFonts w:hint="eastAsia" w:ascii="仿宋" w:hAnsi="仿宋" w:eastAsia="仿宋" w:cs="仿宋"/>
          <w:color w:val="auto"/>
          <w:sz w:val="32"/>
          <w:szCs w:val="32"/>
          <w:highlight w:val="none"/>
          <w:u w:val="none"/>
          <w:lang w:val="en-US" w:eastAsia="zh-CN"/>
        </w:rPr>
        <w:t>。其中，3个县级教学点招收学生100人以上。</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olor w:val="auto"/>
          <w:sz w:val="32"/>
          <w:szCs w:val="32"/>
          <w:highlight w:val="none"/>
          <w:lang w:val="en-US" w:eastAsia="zh-CN"/>
        </w:rPr>
        <w:t>教学点管理工作主要体现在：一是对教学点有严格要求,有统一规范的合作办学协议，对教学点严格把关；二是每年组织2次教学点领导人座谈会，讨论发展中存在的问题，商讨解决的对策。</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招生管理工作主要体现在：一是严格按照国家开放大学和省校的要求，在招生制度的建设与落实、招生宣传、招生工作的规范统筹、教学点的管理与服务，入学资格审核及学生档案的管理上都有严格具体的要求；二是杜绝与招生中介机构的合作。</w:t>
      </w:r>
      <w:r>
        <w:rPr>
          <w:rFonts w:hint="eastAsia" w:ascii="仿宋" w:hAnsi="仿宋" w:eastAsia="仿宋"/>
          <w:color w:val="auto"/>
          <w:sz w:val="32"/>
          <w:szCs w:val="32"/>
          <w:highlight w:val="none"/>
          <w:lang w:val="en-US" w:eastAsia="zh-CN"/>
        </w:rPr>
        <w:t>2020年学校招生工作无违规现象。</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3.信息化和教学资源建设</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近年采购了网神防火墙，流量控制器，waf等网络安全设备，建立了千兆带宽的校园网络，配备各类型服务器；打造了一个专业录播室，采购了一批专业录播设备，完成微课录制；按要求建设了一个标准化的双向视频会议室。</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2020年组织教师录制5分钟课程。教师吴燕录制了《实用管理基础》。蔡方旻录制了数据库基础与应用《数据和数据存储》，取得了良好的教学效果。</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4.学习支持服务和教学过程</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1）抓好开放教育教学环节。一是教学管理领导靠前，统筹做好各项防控工作，保障“停课不停教、停课不停学”和新学期各项工作顺利开展；二是根据国家开放大学和省开放大学的实施性专业培养方案和专业教学实施细则，制定各专业的专业规则，并及时下发各教学点执行；二是要求各专业依据课程教学大纲规定，安排必须完成的教学实践活动，如上机操作、实验、实习等，学员不参加或考核成绩不合格不能参加期末考试；三是成立开放教育毕业论文（毕业设计）工作领导小组，制定一系列相关制度，指导各教学点的具体的实践教学活动，并通过教学检查、材料初审等方式进行落实和监控。</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kern w:val="0"/>
          <w:sz w:val="28"/>
          <w:szCs w:val="28"/>
          <w:highlight w:val="none"/>
          <w:lang w:bidi="ar-SA"/>
        </w:rPr>
      </w:pPr>
      <w:r>
        <w:rPr>
          <w:rFonts w:hint="eastAsia" w:ascii="仿宋" w:hAnsi="仿宋" w:eastAsia="仿宋" w:cs="Times New Roman"/>
          <w:color w:val="auto"/>
          <w:kern w:val="2"/>
          <w:sz w:val="32"/>
          <w:szCs w:val="32"/>
          <w:highlight w:val="none"/>
          <w:lang w:val="en-US" w:eastAsia="zh-CN" w:bidi="ar-SA"/>
        </w:rPr>
        <w:t>（2）抓好“一村一名大学生计划”教学环节。一是在充分发挥教学点专职教师作用的基础上，积极聘请省开放大学教师、市开放大学专业教师、农业局专业农技师及具有中级以上职称且有较为丰富的教学经验教师，担任“一村一名大学生工程”兼职教师，目前共有专业技术资格教师128人，其中高级职称69人，中级职称48人,初级职称11人；二是创办教学实践基地，如南昌县的新和源公司、蒋巷镇兴坤花卉园、玉明生态农庄；新建区的绿恒和公司、畅丰农业发展有限公司；进贤的黄鳝养殖基地、甲鱼养殖基地；安义县塘口村的枣业种植基地、乌溪村的葡萄基地、春晖蓝莓公司等实践教学基地；三是聘请基地的行业专家、技术能人作为“一村一名大学生”学员的生产、实习指导教师，建立专家名录，适应各类教学需要；四是定期开展各类与教学相关的实践教学活动，通过现场观摩提高学习的实效性。</w:t>
      </w: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2-4-4-1 2020</w:t>
      </w:r>
      <w:r>
        <w:rPr>
          <w:rFonts w:hint="eastAsia" w:ascii="仿宋" w:hAnsi="仿宋" w:eastAsia="仿宋" w:cs="仿宋"/>
          <w:color w:val="auto"/>
          <w:kern w:val="0"/>
          <w:sz w:val="28"/>
          <w:szCs w:val="28"/>
          <w:highlight w:val="none"/>
          <w:lang w:bidi="ar-SA"/>
        </w:rPr>
        <w:t>年</w:t>
      </w:r>
      <w:r>
        <w:rPr>
          <w:rFonts w:hint="eastAsia" w:ascii="仿宋" w:hAnsi="仿宋" w:eastAsia="仿宋" w:cs="仿宋"/>
          <w:color w:val="auto"/>
          <w:kern w:val="0"/>
          <w:sz w:val="28"/>
          <w:szCs w:val="28"/>
          <w:highlight w:val="none"/>
          <w:lang w:val="en-US" w:eastAsia="zh-CN" w:bidi="ar-SA"/>
        </w:rPr>
        <w:t>度学习网教学基本情况</w:t>
      </w:r>
    </w:p>
    <w:tbl>
      <w:tblPr>
        <w:tblStyle w:val="8"/>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76.01</w:t>
            </w:r>
          </w:p>
        </w:tc>
        <w:tc>
          <w:tcPr>
            <w:tcW w:w="1217"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90.98</w:t>
            </w:r>
          </w:p>
        </w:tc>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156.64</w:t>
            </w:r>
          </w:p>
        </w:tc>
        <w:tc>
          <w:tcPr>
            <w:tcW w:w="198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217"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98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72.66</w:t>
            </w:r>
          </w:p>
        </w:tc>
        <w:tc>
          <w:tcPr>
            <w:tcW w:w="1217"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98.81</w:t>
            </w:r>
          </w:p>
        </w:tc>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80.92</w:t>
            </w:r>
          </w:p>
        </w:tc>
        <w:tc>
          <w:tcPr>
            <w:tcW w:w="198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217"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98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bl>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w:t>
      </w:r>
      <w:r>
        <w:rPr>
          <w:rFonts w:hint="eastAsia" w:ascii="仿宋" w:hAnsi="仿宋" w:eastAsia="仿宋" w:cs="仿宋"/>
          <w:color w:val="auto"/>
          <w:kern w:val="0"/>
          <w:sz w:val="28"/>
          <w:szCs w:val="28"/>
          <w:highlight w:val="none"/>
          <w:lang w:bidi="ar-SA"/>
        </w:rPr>
        <w:t>-</w:t>
      </w:r>
      <w:r>
        <w:rPr>
          <w:rFonts w:hint="eastAsia" w:ascii="仿宋" w:hAnsi="仿宋" w:eastAsia="仿宋" w:cs="仿宋"/>
          <w:color w:val="auto"/>
          <w:kern w:val="0"/>
          <w:sz w:val="28"/>
          <w:szCs w:val="28"/>
          <w:highlight w:val="none"/>
          <w:lang w:val="en-US" w:eastAsia="zh-CN" w:bidi="ar-SA"/>
        </w:rPr>
        <w:t>4-4-2</w:t>
      </w:r>
      <w:r>
        <w:rPr>
          <w:rFonts w:hint="eastAsia" w:ascii="仿宋" w:hAnsi="仿宋" w:eastAsia="仿宋" w:cs="仿宋"/>
          <w:color w:val="auto"/>
          <w:kern w:val="0"/>
          <w:sz w:val="28"/>
          <w:szCs w:val="28"/>
          <w:highlight w:val="none"/>
          <w:lang w:bidi="ar-SA"/>
        </w:rPr>
        <w:t xml:space="preserve"> </w:t>
      </w:r>
      <w:r>
        <w:rPr>
          <w:rFonts w:hint="eastAsia" w:ascii="仿宋" w:hAnsi="仿宋" w:eastAsia="仿宋" w:cs="仿宋"/>
          <w:color w:val="auto"/>
          <w:kern w:val="0"/>
          <w:sz w:val="28"/>
          <w:szCs w:val="28"/>
          <w:highlight w:val="none"/>
          <w:lang w:val="en-US" w:eastAsia="zh-CN" w:bidi="ar-SA"/>
        </w:rPr>
        <w:t>2020</w:t>
      </w:r>
      <w:r>
        <w:rPr>
          <w:rFonts w:hint="eastAsia" w:ascii="仿宋" w:hAnsi="仿宋" w:eastAsia="仿宋" w:cs="仿宋"/>
          <w:color w:val="auto"/>
          <w:kern w:val="0"/>
          <w:sz w:val="28"/>
          <w:szCs w:val="28"/>
          <w:highlight w:val="none"/>
          <w:lang w:bidi="ar-SA"/>
        </w:rPr>
        <w:t>年</w:t>
      </w:r>
      <w:r>
        <w:rPr>
          <w:rFonts w:hint="eastAsia" w:ascii="仿宋" w:hAnsi="仿宋" w:eastAsia="仿宋" w:cs="仿宋"/>
          <w:color w:val="auto"/>
          <w:kern w:val="0"/>
          <w:sz w:val="28"/>
          <w:szCs w:val="28"/>
          <w:highlight w:val="none"/>
          <w:lang w:val="en-US" w:eastAsia="zh-CN" w:bidi="ar-SA"/>
        </w:rPr>
        <w:t>度学习网教学支持服务</w:t>
      </w:r>
      <w:bookmarkStart w:id="1" w:name="_GoBack"/>
      <w:bookmarkEnd w:id="1"/>
      <w:r>
        <w:rPr>
          <w:rFonts w:hint="eastAsia" w:ascii="仿宋" w:hAnsi="仿宋" w:eastAsia="仿宋" w:cs="仿宋"/>
          <w:color w:val="auto"/>
          <w:kern w:val="0"/>
          <w:sz w:val="28"/>
          <w:szCs w:val="28"/>
          <w:highlight w:val="none"/>
          <w:lang w:val="en-US" w:eastAsia="zh-CN" w:bidi="ar-SA"/>
        </w:rPr>
        <w:t>情况</w:t>
      </w:r>
    </w:p>
    <w:tbl>
      <w:tblPr>
        <w:tblStyle w:val="7"/>
        <w:tblW w:w="8175" w:type="dxa"/>
        <w:jc w:val="center"/>
        <w:tblLayout w:type="fixed"/>
        <w:tblCellMar>
          <w:top w:w="0" w:type="dxa"/>
          <w:left w:w="0" w:type="dxa"/>
          <w:bottom w:w="0" w:type="dxa"/>
          <w:right w:w="0" w:type="dxa"/>
        </w:tblCellMar>
      </w:tblPr>
      <w:tblGrid>
        <w:gridCol w:w="1225"/>
        <w:gridCol w:w="1200"/>
        <w:gridCol w:w="1084"/>
        <w:gridCol w:w="1283"/>
        <w:gridCol w:w="983"/>
        <w:gridCol w:w="1017"/>
        <w:gridCol w:w="1383"/>
      </w:tblGrid>
      <w:tr>
        <w:tblPrEx>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en-US" w:bidi="ar-SA"/>
              </w:rPr>
            </w:pPr>
            <w:r>
              <w:rPr>
                <w:rFonts w:hint="eastAsia" w:ascii="仿宋" w:hAnsi="仿宋" w:eastAsia="仿宋" w:cs="仿宋"/>
                <w:color w:val="auto"/>
                <w:sz w:val="28"/>
                <w:szCs w:val="28"/>
                <w:highlight w:val="none"/>
                <w:lang w:val="en-US" w:eastAsia="zh-CN" w:bidi="ar-SA"/>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学生行</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学生在</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线天数</w:t>
            </w:r>
          </w:p>
        </w:tc>
        <w:tc>
          <w:tcPr>
            <w:tcW w:w="12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学生人均在线行为次数</w:t>
            </w:r>
          </w:p>
        </w:tc>
        <w:tc>
          <w:tcPr>
            <w:tcW w:w="9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教师行</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教师在</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教师人均在线行为次数</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sz w:val="28"/>
                <w:szCs w:val="28"/>
                <w:highlight w:val="none"/>
                <w:u w:val="none"/>
                <w:lang w:val="en-US" w:eastAsia="en-US" w:bidi="ar-SA"/>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9516363</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47748</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1651.86</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305734</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6566</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1364.88</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kern w:val="0"/>
                <w:sz w:val="28"/>
                <w:szCs w:val="28"/>
                <w:highlight w:val="none"/>
                <w:u w:val="none"/>
                <w:lang w:val="en-US" w:eastAsia="zh-CN" w:bidi="ar-SA"/>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6</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7</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4</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8</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9</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sz w:val="28"/>
                <w:szCs w:val="28"/>
                <w:highlight w:val="none"/>
                <w:u w:val="none"/>
                <w:lang w:val="en-US" w:eastAsia="en-US" w:bidi="ar-SA"/>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8413051</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43690</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1484.04</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167982</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3284</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1365.71</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kern w:val="0"/>
                <w:sz w:val="28"/>
                <w:szCs w:val="28"/>
                <w:highlight w:val="none"/>
                <w:u w:val="none"/>
                <w:lang w:val="en-US" w:eastAsia="zh-CN" w:bidi="ar-SA"/>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8</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8</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8</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9</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5</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10</w:t>
            </w:r>
          </w:p>
        </w:tc>
      </w:tr>
    </w:tbl>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bidi="ar-SA"/>
        </w:rPr>
      </w:pP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2-4-4-3 2020年度开放教育面授教学基本情况</w:t>
      </w:r>
    </w:p>
    <w:tbl>
      <w:tblPr>
        <w:tblStyle w:val="7"/>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61"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学期</w:t>
            </w:r>
          </w:p>
        </w:tc>
        <w:tc>
          <w:tcPr>
            <w:tcW w:w="2194"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面授辅导课次</w:t>
            </w:r>
          </w:p>
        </w:tc>
        <w:tc>
          <w:tcPr>
            <w:tcW w:w="2743" w:type="dxa"/>
            <w:shd w:val="clear" w:color="auto" w:fill="D8D8D8"/>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2020春</w:t>
            </w:r>
          </w:p>
        </w:tc>
        <w:tc>
          <w:tcPr>
            <w:tcW w:w="219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245</w:t>
            </w:r>
          </w:p>
        </w:tc>
        <w:tc>
          <w:tcPr>
            <w:tcW w:w="274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2020秋</w:t>
            </w:r>
          </w:p>
        </w:tc>
        <w:tc>
          <w:tcPr>
            <w:tcW w:w="219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236</w:t>
            </w:r>
          </w:p>
        </w:tc>
        <w:tc>
          <w:tcPr>
            <w:tcW w:w="274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11.5%</w:t>
            </w:r>
          </w:p>
        </w:tc>
      </w:tr>
    </w:tbl>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表2-4-4-4 2020年度开放教育实践教学情况</w:t>
      </w:r>
    </w:p>
    <w:tbl>
      <w:tblPr>
        <w:tblStyle w:val="7"/>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D8D8D8"/>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学期</w:t>
            </w:r>
          </w:p>
        </w:tc>
        <w:tc>
          <w:tcPr>
            <w:tcW w:w="2574" w:type="dxa"/>
            <w:shd w:val="clear" w:color="auto" w:fill="D8D8D8"/>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实践基地新增数量</w:t>
            </w:r>
          </w:p>
        </w:tc>
        <w:tc>
          <w:tcPr>
            <w:tcW w:w="2486" w:type="dxa"/>
            <w:shd w:val="clear" w:color="auto" w:fill="D8D8D8"/>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实践基地总数</w:t>
            </w:r>
          </w:p>
        </w:tc>
        <w:tc>
          <w:tcPr>
            <w:tcW w:w="2517" w:type="dxa"/>
            <w:shd w:val="clear" w:color="auto" w:fill="D8D8D8"/>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2020春</w:t>
            </w:r>
          </w:p>
        </w:tc>
        <w:tc>
          <w:tcPr>
            <w:tcW w:w="2574"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w:t>
            </w:r>
          </w:p>
        </w:tc>
        <w:tc>
          <w:tcPr>
            <w:tcW w:w="2486"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4</w:t>
            </w:r>
          </w:p>
        </w:tc>
        <w:tc>
          <w:tcPr>
            <w:tcW w:w="2517"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2020秋</w:t>
            </w:r>
          </w:p>
        </w:tc>
        <w:tc>
          <w:tcPr>
            <w:tcW w:w="2574"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w:t>
            </w:r>
          </w:p>
        </w:tc>
        <w:tc>
          <w:tcPr>
            <w:tcW w:w="2486"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4</w:t>
            </w:r>
          </w:p>
        </w:tc>
        <w:tc>
          <w:tcPr>
            <w:tcW w:w="2517" w:type="dxa"/>
            <w:noWrap w:val="0"/>
            <w:vAlign w:val="center"/>
          </w:tcPr>
          <w:p>
            <w:pPr>
              <w:widowControl/>
              <w:spacing w:line="520" w:lineRule="exact"/>
              <w:jc w:val="center"/>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13</w:t>
            </w:r>
          </w:p>
        </w:tc>
      </w:tr>
    </w:tbl>
    <w:p>
      <w:pPr>
        <w:pStyle w:val="2"/>
        <w:keepNext w:val="0"/>
        <w:keepLines w:val="0"/>
        <w:pageBreakBefore w:val="0"/>
        <w:widowControl w:val="0"/>
        <w:numPr>
          <w:ilvl w:val="0"/>
          <w:numId w:val="0"/>
        </w:numPr>
        <w:kinsoku/>
        <w:wordWrap/>
        <w:overflowPunct/>
        <w:topLinePunct w:val="0"/>
        <w:autoSpaceDE/>
        <w:autoSpaceDN/>
        <w:bidi w:val="0"/>
        <w:spacing w:after="0" w:line="600" w:lineRule="exact"/>
        <w:ind w:firstLine="640" w:firstLineChars="200"/>
        <w:jc w:val="both"/>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5.考试组织情况</w:t>
      </w:r>
    </w:p>
    <w:p>
      <w:pPr>
        <w:pStyle w:val="2"/>
        <w:keepNext w:val="0"/>
        <w:keepLines w:val="0"/>
        <w:pageBreakBefore w:val="0"/>
        <w:widowControl w:val="0"/>
        <w:kinsoku/>
        <w:wordWrap/>
        <w:overflowPunct/>
        <w:topLinePunct w:val="0"/>
        <w:autoSpaceDE/>
        <w:autoSpaceDN/>
        <w:bidi w:val="0"/>
        <w:spacing w:after="0" w:line="600" w:lineRule="exact"/>
        <w:ind w:left="0" w:firstLine="640" w:firstLineChars="200"/>
        <w:jc w:val="both"/>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一是出台《江西开放大学南昌市分校试卷保密室工作制度》等一系列考试制度，明确考试组织中各岗位的工作职责；二是考前学校对考生进行考试诚信教育，面向所有考试工作人员进行各自岗位培训并签订岗位责任书；三是请求南昌市公安局网监支队支持，对网络环境进行监控，严查网上招聘替考等信息，及时删除招募替考信息并追查有关人员责任；四是建立考试工作QQ群和微信群，统一发布省校考试指令，及时处理考试中突发事件，保证考试工作正常运行；五是设置专门人员巡查考场，对考点周边环境进行巡查清理，杜绝组织替考现象的发生。</w:t>
      </w:r>
    </w:p>
    <w:p>
      <w:pPr>
        <w:pStyle w:val="2"/>
        <w:keepNext w:val="0"/>
        <w:keepLines w:val="0"/>
        <w:pageBreakBefore w:val="0"/>
        <w:widowControl w:val="0"/>
        <w:kinsoku/>
        <w:wordWrap/>
        <w:overflowPunct/>
        <w:topLinePunct w:val="0"/>
        <w:autoSpaceDE/>
        <w:autoSpaceDN/>
        <w:bidi w:val="0"/>
        <w:spacing w:after="0" w:line="600" w:lineRule="exact"/>
        <w:ind w:left="0" w:firstLine="640" w:firstLineChars="200"/>
        <w:jc w:val="both"/>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省校飞巡组对南昌市分校校本部、南昌电大新华电脑中专学校、南昌市广南学校、安义教师进修学校4个考点2020秋季考试工作进行检查发现，基本实现学生自己考试，手机考试期间被管控的状态。</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仿宋"/>
          <w:color w:val="auto"/>
          <w:kern w:val="0"/>
          <w:sz w:val="30"/>
          <w:szCs w:val="30"/>
          <w:highlight w:val="none"/>
          <w:lang w:val="en-US" w:eastAsia="zh-CN" w:bidi="ar-SA"/>
        </w:rPr>
      </w:pPr>
      <w:r>
        <w:rPr>
          <w:rFonts w:hint="eastAsia" w:ascii="仿宋" w:hAnsi="仿宋" w:eastAsia="仿宋" w:cs="仿宋"/>
          <w:color w:val="auto"/>
          <w:kern w:val="0"/>
          <w:sz w:val="28"/>
          <w:szCs w:val="28"/>
          <w:highlight w:val="none"/>
          <w:lang w:val="en-US" w:eastAsia="zh-CN" w:bidi="ar-SA"/>
        </w:rPr>
        <w:t>表2-4-5 2020年度开放教育考试情况</w:t>
      </w:r>
    </w:p>
    <w:tbl>
      <w:tblPr>
        <w:tblStyle w:val="7"/>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539"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学期</w:t>
            </w:r>
          </w:p>
        </w:tc>
        <w:tc>
          <w:tcPr>
            <w:tcW w:w="1637"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实考人数</w:t>
            </w:r>
          </w:p>
        </w:tc>
        <w:tc>
          <w:tcPr>
            <w:tcW w:w="1788"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实考率</w:t>
            </w:r>
          </w:p>
        </w:tc>
        <w:tc>
          <w:tcPr>
            <w:tcW w:w="1782"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合格人数</w:t>
            </w:r>
          </w:p>
        </w:tc>
        <w:tc>
          <w:tcPr>
            <w:tcW w:w="1774" w:type="dxa"/>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3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2020春</w:t>
            </w:r>
          </w:p>
        </w:tc>
        <w:tc>
          <w:tcPr>
            <w:tcW w:w="16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44741</w:t>
            </w:r>
          </w:p>
        </w:tc>
        <w:tc>
          <w:tcPr>
            <w:tcW w:w="178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 xml:space="preserve">87.81 </w:t>
            </w:r>
          </w:p>
        </w:tc>
        <w:tc>
          <w:tcPr>
            <w:tcW w:w="17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36462</w:t>
            </w:r>
          </w:p>
        </w:tc>
        <w:tc>
          <w:tcPr>
            <w:tcW w:w="17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 xml:space="preserve">81.50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3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2020秋</w:t>
            </w:r>
          </w:p>
        </w:tc>
        <w:tc>
          <w:tcPr>
            <w:tcW w:w="163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34991</w:t>
            </w:r>
          </w:p>
        </w:tc>
        <w:tc>
          <w:tcPr>
            <w:tcW w:w="178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 xml:space="preserve">78.14 </w:t>
            </w:r>
          </w:p>
        </w:tc>
        <w:tc>
          <w:tcPr>
            <w:tcW w:w="17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29096</w:t>
            </w:r>
          </w:p>
        </w:tc>
        <w:tc>
          <w:tcPr>
            <w:tcW w:w="17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 xml:space="preserve">83.15 </w:t>
            </w:r>
          </w:p>
        </w:tc>
      </w:tr>
    </w:tbl>
    <w:p>
      <w:pPr>
        <w:pStyle w:val="2"/>
        <w:keepNext w:val="0"/>
        <w:keepLines w:val="0"/>
        <w:pageBreakBefore w:val="0"/>
        <w:widowControl w:val="0"/>
        <w:kinsoku/>
        <w:wordWrap/>
        <w:overflowPunct/>
        <w:topLinePunct w:val="0"/>
        <w:autoSpaceDE/>
        <w:autoSpaceDN/>
        <w:bidi w:val="0"/>
        <w:spacing w:after="0" w:line="600" w:lineRule="exact"/>
        <w:ind w:left="0" w:firstLine="640" w:firstLineChars="200"/>
        <w:jc w:val="both"/>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6.教学检查结果</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表2-4-6 2020年度国开学习网教学检查排名</w:t>
      </w:r>
    </w:p>
    <w:tbl>
      <w:tblPr>
        <w:tblStyle w:val="8"/>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noWrap w:val="0"/>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44.92825683</w:t>
            </w:r>
          </w:p>
        </w:tc>
        <w:tc>
          <w:tcPr>
            <w:tcW w:w="2187" w:type="dxa"/>
            <w:noWrap w:val="0"/>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b/>
                <w:i w:val="0"/>
                <w:color w:val="auto"/>
                <w:kern w:val="0"/>
                <w:sz w:val="28"/>
                <w:szCs w:val="28"/>
                <w:highlight w:val="none"/>
                <w:u w:val="none"/>
                <w:lang w:val="en-US" w:eastAsia="zh-CN" w:bidi="ar"/>
              </w:rPr>
              <w:t>7</w:t>
            </w:r>
          </w:p>
        </w:tc>
        <w:tc>
          <w:tcPr>
            <w:tcW w:w="2013" w:type="dxa"/>
            <w:noWrap w:val="0"/>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41.05703682</w:t>
            </w:r>
          </w:p>
        </w:tc>
        <w:tc>
          <w:tcPr>
            <w:tcW w:w="2127" w:type="dxa"/>
            <w:noWrap w:val="0"/>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b/>
                <w:i w:val="0"/>
                <w:color w:val="auto"/>
                <w:kern w:val="0"/>
                <w:sz w:val="28"/>
                <w:szCs w:val="28"/>
                <w:highlight w:val="none"/>
                <w:u w:val="none"/>
                <w:lang w:val="en-US" w:eastAsia="zh-CN" w:bidi="ar"/>
              </w:rPr>
              <w:t>10</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楷体" w:hAnsi="楷体" w:eastAsia="楷体" w:cs="楷体"/>
          <w:b w:val="0"/>
          <w:bCs w:val="0"/>
          <w:color w:val="auto"/>
          <w:kern w:val="0"/>
          <w:sz w:val="32"/>
          <w:szCs w:val="32"/>
          <w:highlight w:val="none"/>
          <w:lang w:val="en-US" w:eastAsia="zh-CN" w:bidi="ar-SA"/>
        </w:rPr>
      </w:pPr>
      <w:r>
        <w:rPr>
          <w:rFonts w:hint="eastAsia" w:ascii="楷体" w:hAnsi="楷体" w:eastAsia="楷体" w:cs="楷体"/>
          <w:b w:val="0"/>
          <w:bCs w:val="0"/>
          <w:color w:val="auto"/>
          <w:kern w:val="0"/>
          <w:sz w:val="32"/>
          <w:szCs w:val="32"/>
          <w:highlight w:val="none"/>
          <w:lang w:val="en-US" w:eastAsia="zh-CN" w:bidi="ar-SA"/>
        </w:rPr>
        <w:t>（五）思政教育和学生工作</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b w:val="0"/>
          <w:bCs w:val="0"/>
          <w:color w:val="auto"/>
          <w:sz w:val="32"/>
          <w:szCs w:val="32"/>
          <w:highlight w:val="none"/>
          <w:lang w:val="en-US" w:eastAsia="zh-CN" w:bidi="ar-SA"/>
        </w:rPr>
      </w:pPr>
      <w:r>
        <w:rPr>
          <w:rFonts w:hint="eastAsia" w:ascii="仿宋" w:hAnsi="仿宋" w:eastAsia="仿宋" w:cs="仿宋"/>
          <w:b w:val="0"/>
          <w:bCs w:val="0"/>
          <w:color w:val="auto"/>
          <w:sz w:val="32"/>
          <w:szCs w:val="32"/>
          <w:highlight w:val="none"/>
          <w:lang w:val="en-US" w:eastAsia="zh-CN" w:bidi="ar-SA"/>
        </w:rPr>
        <w:t>1.“思政课程”初见成效</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建立学校党政领导干部带头讲授思政课制度。学校党政主要负责人党委书记，党委副书记兼校长，各党支部书记以思政课专题报告成专题讲座形式每学期至少讲教4个课时思政课。</w:t>
      </w:r>
    </w:p>
    <w:p>
      <w:pPr>
        <w:pStyle w:val="2"/>
        <w:keepNext w:val="0"/>
        <w:keepLines w:val="0"/>
        <w:pageBreakBefore w:val="0"/>
        <w:widowControl w:val="0"/>
        <w:numPr>
          <w:ilvl w:val="0"/>
          <w:numId w:val="0"/>
        </w:numPr>
        <w:kinsoku/>
        <w:wordWrap/>
        <w:overflowPunct/>
        <w:topLinePunct w:val="0"/>
        <w:autoSpaceDE/>
        <w:autoSpaceDN/>
        <w:bidi w:val="0"/>
        <w:spacing w:after="0" w:line="576" w:lineRule="exact"/>
        <w:ind w:firstLine="640" w:firstLineChars="200"/>
        <w:textAlignment w:val="auto"/>
        <w:rPr>
          <w:rFonts w:hint="eastAsia" w:ascii="仿宋" w:hAnsi="仿宋" w:eastAsia="仿宋" w:cs="仿宋"/>
          <w:b w:val="0"/>
          <w:bCs w:val="0"/>
          <w:color w:val="auto"/>
          <w:sz w:val="32"/>
          <w:szCs w:val="32"/>
          <w:highlight w:val="none"/>
          <w:lang w:val="en-US" w:eastAsia="zh-CN" w:bidi="ar-SA"/>
        </w:rPr>
      </w:pPr>
      <w:r>
        <w:rPr>
          <w:rFonts w:hint="eastAsia" w:ascii="仿宋" w:hAnsi="仿宋" w:eastAsia="仿宋" w:cs="仿宋"/>
          <w:b w:val="0"/>
          <w:bCs w:val="0"/>
          <w:color w:val="auto"/>
          <w:sz w:val="32"/>
          <w:szCs w:val="32"/>
          <w:highlight w:val="none"/>
          <w:lang w:val="en-US" w:eastAsia="zh-CN" w:bidi="ar-SA"/>
        </w:rPr>
        <w:t>2.学生德育教育常抓不懈</w:t>
      </w:r>
    </w:p>
    <w:p>
      <w:pPr>
        <w:pStyle w:val="2"/>
        <w:keepNext w:val="0"/>
        <w:keepLines w:val="0"/>
        <w:pageBreakBefore w:val="0"/>
        <w:widowControl w:val="0"/>
        <w:kinsoku/>
        <w:wordWrap/>
        <w:overflowPunct/>
        <w:topLinePunct w:val="0"/>
        <w:autoSpaceDE/>
        <w:autoSpaceDN/>
        <w:bidi w:val="0"/>
        <w:spacing w:after="0" w:line="576" w:lineRule="exac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   </w:t>
      </w:r>
      <w:r>
        <w:rPr>
          <w:rFonts w:hint="eastAsia" w:ascii="仿宋" w:hAnsi="仿宋" w:eastAsia="仿宋" w:cs="仿宋"/>
          <w:b w:val="0"/>
          <w:bCs w:val="0"/>
          <w:color w:val="auto"/>
          <w:kern w:val="2"/>
          <w:sz w:val="32"/>
          <w:szCs w:val="32"/>
          <w:highlight w:val="none"/>
          <w:lang w:val="en-US" w:eastAsia="zh-CN" w:bidi="ar-SA"/>
        </w:rPr>
        <w:t>大力加强学生德育工作。</w:t>
      </w:r>
      <w:r>
        <w:rPr>
          <w:rFonts w:hint="eastAsia" w:ascii="仿宋" w:hAnsi="仿宋" w:eastAsia="仿宋" w:cs="仿宋"/>
          <w:color w:val="auto"/>
          <w:kern w:val="2"/>
          <w:sz w:val="32"/>
          <w:szCs w:val="32"/>
          <w:highlight w:val="none"/>
          <w:lang w:val="en-US" w:eastAsia="zh-CN" w:bidi="ar-SA"/>
        </w:rPr>
        <w:t>2020年度分别开展思想政治教育类校园学生活动展播、评选活动，“讲抗疫故事 做奋进青年”等活动，学习贯彻习近平总书记对青少年工作的重要讲话、贺信、回信精神等。</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学生管理部门积极做好推优评优工作，注重学生创新能力的培养，</w:t>
      </w:r>
      <w:r>
        <w:rPr>
          <w:rFonts w:hint="eastAsia" w:ascii="仿宋" w:hAnsi="仿宋" w:eastAsia="仿宋" w:cs="仿宋"/>
          <w:color w:val="auto"/>
          <w:kern w:val="2"/>
          <w:sz w:val="32"/>
          <w:szCs w:val="32"/>
          <w:highlight w:val="none"/>
          <w:lang w:val="en-US" w:eastAsia="zh-CN" w:bidi="ar-SA"/>
        </w:rPr>
        <w:t>共有22名学员获得2019年度国家开放大学奖学金,2名学员获得2019年度国家开放大学“希望的田野”奖学金。</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积极开展校园文化建设活动，创造良好的育人氛围。2020年分别开展“4.15”国家安全教育活动、大学生志愿服务疫情防控工作、读书月活动等。</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3.学生管理抓两头，促中间</w:t>
      </w:r>
    </w:p>
    <w:p>
      <w:pPr>
        <w:pStyle w:val="2"/>
        <w:keepNext w:val="0"/>
        <w:keepLines w:val="0"/>
        <w:pageBreakBefore w:val="0"/>
        <w:widowControl w:val="0"/>
        <w:kinsoku/>
        <w:wordWrap/>
        <w:overflowPunct/>
        <w:topLinePunct w:val="0"/>
        <w:autoSpaceDE/>
        <w:autoSpaceDN/>
        <w:bidi w:val="0"/>
        <w:spacing w:after="0" w:line="576" w:lineRule="exac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   组织新生收看新学期国家开放大学“开学第一课”，校领导亲自授课入学教育课程，引导学生规范学习方法，每学期开学初开展开放教育毕业生及其用人单位满意度调查工作，调查毕业生的社会反馈意见。</w:t>
      </w:r>
    </w:p>
    <w:p>
      <w:pPr>
        <w:pStyle w:val="2"/>
        <w:keepNext w:val="0"/>
        <w:keepLines w:val="0"/>
        <w:pageBreakBefore w:val="0"/>
        <w:widowControl w:val="0"/>
        <w:numPr>
          <w:ilvl w:val="0"/>
          <w:numId w:val="0"/>
        </w:numPr>
        <w:tabs>
          <w:tab w:val="left" w:pos="0"/>
        </w:tabs>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三、办学条件</w:t>
      </w:r>
    </w:p>
    <w:p>
      <w:pPr>
        <w:pStyle w:val="2"/>
        <w:keepNext w:val="0"/>
        <w:keepLines w:val="0"/>
        <w:pageBreakBefore w:val="0"/>
        <w:widowControl w:val="0"/>
        <w:numPr>
          <w:ilvl w:val="0"/>
          <w:numId w:val="0"/>
        </w:numPr>
        <w:tabs>
          <w:tab w:val="left" w:pos="0"/>
        </w:tabs>
        <w:kinsoku/>
        <w:wordWrap/>
        <w:overflowPunct/>
        <w:topLinePunct w:val="0"/>
        <w:autoSpaceDE/>
        <w:autoSpaceDN/>
        <w:bidi w:val="0"/>
        <w:adjustRightInd/>
        <w:snapToGrid/>
        <w:spacing w:after="0" w:line="576" w:lineRule="exact"/>
        <w:ind w:firstLine="640" w:firstLineChars="200"/>
        <w:jc w:val="both"/>
        <w:textAlignment w:val="auto"/>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（一）办学场地与设施</w:t>
      </w:r>
    </w:p>
    <w:p>
      <w:pPr>
        <w:pStyle w:val="2"/>
        <w:keepNext w:val="0"/>
        <w:keepLines w:val="0"/>
        <w:pageBreakBefore w:val="0"/>
        <w:widowControl w:val="0"/>
        <w:kinsoku/>
        <w:wordWrap/>
        <w:overflowPunct/>
        <w:topLinePunct w:val="0"/>
        <w:autoSpaceDE/>
        <w:autoSpaceDN/>
        <w:bidi w:val="0"/>
        <w:spacing w:after="0" w:line="576" w:lineRule="exact"/>
        <w:ind w:left="0" w:firstLine="640" w:firstLineChars="200"/>
        <w:jc w:val="both"/>
        <w:rPr>
          <w:rFonts w:hint="eastAsia" w:ascii="仿宋" w:hAnsi="仿宋" w:eastAsia="仿宋" w:cs="仿宋"/>
          <w:color w:val="auto"/>
          <w:kern w:val="0"/>
          <w:sz w:val="28"/>
          <w:szCs w:val="28"/>
          <w:highlight w:val="none"/>
          <w:lang w:val="en-US" w:eastAsia="zh-CN" w:bidi="ar-SA"/>
        </w:rPr>
      </w:pPr>
      <w:r>
        <w:rPr>
          <w:rFonts w:hint="eastAsia" w:ascii="仿宋" w:hAnsi="仿宋" w:eastAsia="仿宋" w:cs="Times New Roman"/>
          <w:color w:val="auto"/>
          <w:kern w:val="2"/>
          <w:sz w:val="32"/>
          <w:szCs w:val="32"/>
          <w:highlight w:val="none"/>
          <w:lang w:val="en-US" w:eastAsia="zh-CN" w:bidi="ar-SA"/>
        </w:rPr>
        <w:t>学校占地面积3.5亩，办公教学用房面积6000余平方米，现有教室35间，校外实践基地4个，建立"三网合一、三级平台互动"的传输系统和应用环境。</w:t>
      </w:r>
    </w:p>
    <w:p>
      <w:pPr>
        <w:keepNext w:val="0"/>
        <w:keepLines w:val="0"/>
        <w:pageBreakBefore w:val="0"/>
        <w:widowControl/>
        <w:kinsoku/>
        <w:wordWrap/>
        <w:overflowPunct/>
        <w:topLinePunct w:val="0"/>
        <w:autoSpaceDE/>
        <w:autoSpaceDN/>
        <w:bidi w:val="0"/>
        <w:adjustRightInd w:val="0"/>
        <w:snapToGrid w:val="0"/>
        <w:spacing w:line="576" w:lineRule="exact"/>
        <w:ind w:left="0"/>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表3-1 2020年度</w:t>
      </w:r>
      <w:r>
        <w:rPr>
          <w:rFonts w:hint="eastAsia" w:ascii="仿宋" w:hAnsi="仿宋" w:eastAsia="仿宋" w:cs="仿宋"/>
          <w:color w:val="auto"/>
          <w:kern w:val="0"/>
          <w:sz w:val="28"/>
          <w:szCs w:val="28"/>
          <w:highlight w:val="none"/>
          <w:lang w:val="en-US" w:eastAsia="zh-CN"/>
        </w:rPr>
        <w:t>办学场地与设施</w:t>
      </w:r>
    </w:p>
    <w:tbl>
      <w:tblPr>
        <w:tblStyle w:val="7"/>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940"/>
        <w:gridCol w:w="1230"/>
        <w:gridCol w:w="940"/>
        <w:gridCol w:w="870"/>
        <w:gridCol w:w="810"/>
        <w:gridCol w:w="710"/>
        <w:gridCol w:w="820"/>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5"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p>
        </w:tc>
        <w:tc>
          <w:tcPr>
            <w:tcW w:w="94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办学场地面积（亩）</w:t>
            </w:r>
          </w:p>
        </w:tc>
        <w:tc>
          <w:tcPr>
            <w:tcW w:w="123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办学用房面积（平方米）</w:t>
            </w:r>
          </w:p>
        </w:tc>
        <w:tc>
          <w:tcPr>
            <w:tcW w:w="94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办学用房生均面积（平方米）</w:t>
            </w:r>
          </w:p>
        </w:tc>
        <w:tc>
          <w:tcPr>
            <w:tcW w:w="87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60人一间</w:t>
            </w:r>
            <w:r>
              <w:rPr>
                <w:rFonts w:hint="eastAsia" w:ascii="仿宋" w:hAnsi="仿宋" w:eastAsia="仿宋" w:cs="仿宋"/>
                <w:color w:val="auto"/>
                <w:kern w:val="2"/>
                <w:sz w:val="28"/>
                <w:szCs w:val="28"/>
                <w:highlight w:val="none"/>
                <w:u w:val="none"/>
                <w:lang w:val="en-US" w:eastAsia="zh-CN" w:bidi="ar-SA"/>
              </w:rPr>
              <w:t>教室间数</w:t>
            </w:r>
          </w:p>
        </w:tc>
        <w:tc>
          <w:tcPr>
            <w:tcW w:w="81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在籍生数与教室数比</w:t>
            </w:r>
          </w:p>
        </w:tc>
        <w:tc>
          <w:tcPr>
            <w:tcW w:w="71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计算机台数</w:t>
            </w:r>
          </w:p>
        </w:tc>
        <w:tc>
          <w:tcPr>
            <w:tcW w:w="820"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lang w:val="en-US" w:eastAsia="zh-CN" w:bidi="ar-SA"/>
              </w:rPr>
              <w:t>在籍生数与计算机数比</w:t>
            </w:r>
          </w:p>
        </w:tc>
        <w:tc>
          <w:tcPr>
            <w:tcW w:w="815" w:type="dxa"/>
            <w:tcBorders>
              <w:top w:val="single" w:color="auto" w:sz="4" w:space="0"/>
              <w:left w:val="single" w:color="auto" w:sz="4" w:space="0"/>
              <w:bottom w:val="single" w:color="auto" w:sz="4" w:space="0"/>
              <w:right w:val="single" w:color="auto" w:sz="4" w:space="0"/>
            </w:tcBorders>
            <w:shd w:val="clear" w:color="auto" w:fill="E7E6E6" w:themeFill="background2"/>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95"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校本部</w:t>
            </w:r>
          </w:p>
        </w:tc>
        <w:tc>
          <w:tcPr>
            <w:tcW w:w="94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3.534</w:t>
            </w:r>
          </w:p>
        </w:tc>
        <w:tc>
          <w:tcPr>
            <w:tcW w:w="123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5533.95</w:t>
            </w:r>
          </w:p>
        </w:tc>
        <w:tc>
          <w:tcPr>
            <w:tcW w:w="94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0.53</w:t>
            </w:r>
          </w:p>
        </w:tc>
        <w:tc>
          <w:tcPr>
            <w:tcW w:w="87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34</w:t>
            </w:r>
          </w:p>
        </w:tc>
        <w:tc>
          <w:tcPr>
            <w:tcW w:w="81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0.33</w:t>
            </w:r>
          </w:p>
        </w:tc>
        <w:tc>
          <w:tcPr>
            <w:tcW w:w="71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300</w:t>
            </w:r>
          </w:p>
        </w:tc>
        <w:tc>
          <w:tcPr>
            <w:tcW w:w="82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2.89</w:t>
            </w:r>
          </w:p>
        </w:tc>
        <w:tc>
          <w:tcPr>
            <w:tcW w:w="815"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sz w:val="28"/>
                <w:szCs w:val="28"/>
                <w:highlight w:val="none"/>
                <w:lang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395"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全省排名</w:t>
            </w:r>
          </w:p>
        </w:tc>
        <w:tc>
          <w:tcPr>
            <w:tcW w:w="94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10</w:t>
            </w:r>
          </w:p>
        </w:tc>
        <w:tc>
          <w:tcPr>
            <w:tcW w:w="123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9</w:t>
            </w:r>
          </w:p>
        </w:tc>
        <w:tc>
          <w:tcPr>
            <w:tcW w:w="94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10</w:t>
            </w:r>
          </w:p>
        </w:tc>
        <w:tc>
          <w:tcPr>
            <w:tcW w:w="87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5</w:t>
            </w:r>
          </w:p>
        </w:tc>
        <w:tc>
          <w:tcPr>
            <w:tcW w:w="81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6</w:t>
            </w:r>
          </w:p>
        </w:tc>
        <w:tc>
          <w:tcPr>
            <w:tcW w:w="71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3</w:t>
            </w:r>
          </w:p>
        </w:tc>
        <w:tc>
          <w:tcPr>
            <w:tcW w:w="820"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5</w:t>
            </w:r>
          </w:p>
        </w:tc>
        <w:tc>
          <w:tcPr>
            <w:tcW w:w="815" w:type="dxa"/>
            <w:tcBorders>
              <w:top w:val="single" w:color="auto" w:sz="4" w:space="0"/>
              <w:left w:val="single" w:color="auto" w:sz="4" w:space="0"/>
              <w:bottom w:val="single" w:color="auto" w:sz="4" w:space="0"/>
              <w:right w:val="single" w:color="auto" w:sz="4" w:space="0"/>
            </w:tcBorders>
            <w:noWrap/>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color w:val="auto"/>
                <w:kern w:val="2"/>
                <w:sz w:val="28"/>
                <w:szCs w:val="28"/>
                <w:highlight w:val="none"/>
                <w:vertAlign w:val="baseline"/>
                <w:lang w:val="en-US" w:eastAsia="zh-CN" w:bidi="ar-SA"/>
              </w:rPr>
            </w:pPr>
            <w:r>
              <w:rPr>
                <w:rFonts w:hint="eastAsia" w:ascii="仿宋" w:hAnsi="仿宋" w:eastAsia="仿宋" w:cs="仿宋"/>
                <w:color w:val="auto"/>
                <w:kern w:val="2"/>
                <w:sz w:val="28"/>
                <w:szCs w:val="28"/>
                <w:highlight w:val="none"/>
                <w:vertAlign w:val="baseline"/>
                <w:lang w:val="en-US" w:eastAsia="zh-CN" w:bidi="ar-SA"/>
              </w:rPr>
              <w:t>9</w:t>
            </w:r>
          </w:p>
        </w:tc>
      </w:tr>
    </w:tbl>
    <w:p>
      <w:pPr>
        <w:pStyle w:val="2"/>
        <w:keepNext w:val="0"/>
        <w:keepLines w:val="0"/>
        <w:pageBreakBefore w:val="0"/>
        <w:widowControl w:val="0"/>
        <w:numPr>
          <w:ilvl w:val="0"/>
          <w:numId w:val="0"/>
        </w:numPr>
        <w:tabs>
          <w:tab w:val="left" w:pos="0"/>
        </w:tabs>
        <w:kinsoku/>
        <w:wordWrap/>
        <w:overflowPunct/>
        <w:topLinePunct w:val="0"/>
        <w:autoSpaceDE/>
        <w:autoSpaceDN/>
        <w:bidi w:val="0"/>
        <w:adjustRightInd/>
        <w:snapToGrid/>
        <w:spacing w:after="0" w:line="576" w:lineRule="exact"/>
        <w:ind w:leftChars="0" w:firstLine="640" w:firstLineChars="200"/>
        <w:jc w:val="both"/>
        <w:textAlignment w:val="auto"/>
        <w:rPr>
          <w:rFonts w:hint="eastAsia" w:ascii="仿宋" w:hAnsi="仿宋" w:eastAsia="仿宋" w:cs="仿宋"/>
          <w:color w:val="auto"/>
          <w:kern w:val="0"/>
          <w:sz w:val="30"/>
          <w:szCs w:val="30"/>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（二）师资队伍</w:t>
      </w:r>
    </w:p>
    <w:p>
      <w:pPr>
        <w:pStyle w:val="2"/>
        <w:keepNext w:val="0"/>
        <w:keepLines w:val="0"/>
        <w:pageBreakBefore w:val="0"/>
        <w:widowControl w:val="0"/>
        <w:numPr>
          <w:ilvl w:val="0"/>
          <w:numId w:val="0"/>
        </w:numPr>
        <w:tabs>
          <w:tab w:val="left" w:pos="0"/>
        </w:tabs>
        <w:kinsoku/>
        <w:wordWrap/>
        <w:overflowPunct/>
        <w:topLinePunct w:val="0"/>
        <w:autoSpaceDE/>
        <w:autoSpaceDN/>
        <w:bidi w:val="0"/>
        <w:adjustRightInd/>
        <w:snapToGrid/>
        <w:spacing w:after="0" w:line="576" w:lineRule="exact"/>
        <w:ind w:leftChars="0"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学校重视师资队伍建设，成立文史、经济、理工类教研组，开展公开课教学、微课比赛等教研活动。</w:t>
      </w:r>
    </w:p>
    <w:p>
      <w:pPr>
        <w:keepNext w:val="0"/>
        <w:keepLines w:val="0"/>
        <w:pageBreakBefore w:val="0"/>
        <w:widowControl/>
        <w:kinsoku/>
        <w:wordWrap/>
        <w:overflowPunct/>
        <w:topLinePunct w:val="0"/>
        <w:autoSpaceDE/>
        <w:autoSpaceDN/>
        <w:bidi w:val="0"/>
        <w:adjustRightInd w:val="0"/>
        <w:snapToGrid w:val="0"/>
        <w:spacing w:line="400" w:lineRule="exact"/>
        <w:ind w:left="0"/>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 xml:space="preserve">表3-2 </w:t>
      </w:r>
      <w:r>
        <w:rPr>
          <w:rFonts w:hint="eastAsia" w:ascii="仿宋" w:hAnsi="仿宋" w:eastAsia="仿宋" w:cs="仿宋"/>
          <w:color w:val="auto"/>
          <w:kern w:val="0"/>
          <w:sz w:val="28"/>
          <w:szCs w:val="28"/>
          <w:highlight w:val="none"/>
          <w:lang w:val="en-US" w:eastAsia="zh-CN" w:bidi="ar-SA"/>
        </w:rPr>
        <w:t>2020年度</w:t>
      </w:r>
      <w:r>
        <w:rPr>
          <w:rFonts w:hint="eastAsia" w:ascii="仿宋" w:hAnsi="仿宋" w:eastAsia="仿宋" w:cs="仿宋"/>
          <w:color w:val="auto"/>
          <w:kern w:val="2"/>
          <w:sz w:val="28"/>
          <w:szCs w:val="28"/>
          <w:highlight w:val="none"/>
          <w:lang w:val="en-US" w:eastAsia="zh-CN" w:bidi="ar-SA"/>
        </w:rPr>
        <w:t>教师情况</w:t>
      </w:r>
    </w:p>
    <w:p>
      <w:pPr>
        <w:keepNext w:val="0"/>
        <w:keepLines w:val="0"/>
        <w:pageBreakBefore w:val="0"/>
        <w:widowControl/>
        <w:kinsoku/>
        <w:wordWrap/>
        <w:overflowPunct/>
        <w:topLinePunct w:val="0"/>
        <w:autoSpaceDE/>
        <w:autoSpaceDN/>
        <w:bidi w:val="0"/>
        <w:adjustRightInd w:val="0"/>
        <w:snapToGrid w:val="0"/>
        <w:spacing w:line="400" w:lineRule="exact"/>
        <w:ind w:left="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校内教师数量与结构</w:t>
      </w:r>
    </w:p>
    <w:tbl>
      <w:tblPr>
        <w:tblStyle w:val="7"/>
        <w:tblW w:w="8390" w:type="dxa"/>
        <w:tblInd w:w="0" w:type="dxa"/>
        <w:tblLayout w:type="fixed"/>
        <w:tblCellMar>
          <w:top w:w="0" w:type="dxa"/>
          <w:left w:w="108" w:type="dxa"/>
          <w:bottom w:w="0" w:type="dxa"/>
          <w:right w:w="108" w:type="dxa"/>
        </w:tblCellMar>
      </w:tblPr>
      <w:tblGrid>
        <w:gridCol w:w="1156"/>
        <w:gridCol w:w="580"/>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56" w:type="dxa"/>
            <w:vMerge w:val="restart"/>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单位</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名称</w:t>
            </w:r>
          </w:p>
        </w:tc>
        <w:tc>
          <w:tcPr>
            <w:tcW w:w="580" w:type="dxa"/>
            <w:vMerge w:val="restart"/>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学历情况</w:t>
            </w:r>
          </w:p>
        </w:tc>
      </w:tr>
      <w:tr>
        <w:tblPrEx>
          <w:tblCellMar>
            <w:top w:w="0" w:type="dxa"/>
            <w:left w:w="108" w:type="dxa"/>
            <w:bottom w:w="0" w:type="dxa"/>
            <w:right w:w="108" w:type="dxa"/>
          </w:tblCellMar>
        </w:tblPrEx>
        <w:trPr>
          <w:trHeight w:val="570" w:hRule="atLeast"/>
        </w:trPr>
        <w:tc>
          <w:tcPr>
            <w:tcW w:w="1156" w:type="dxa"/>
            <w:vMerge w:val="continue"/>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8"/>
                <w:szCs w:val="28"/>
                <w:highlight w:val="none"/>
              </w:rPr>
            </w:pPr>
          </w:p>
        </w:tc>
        <w:tc>
          <w:tcPr>
            <w:tcW w:w="580" w:type="dxa"/>
            <w:vMerge w:val="continue"/>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正高职称人数</w:t>
            </w:r>
          </w:p>
        </w:tc>
        <w:tc>
          <w:tcPr>
            <w:tcW w:w="851"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副高职称人数</w:t>
            </w:r>
          </w:p>
        </w:tc>
        <w:tc>
          <w:tcPr>
            <w:tcW w:w="850"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中级职称人数</w:t>
            </w:r>
          </w:p>
        </w:tc>
        <w:tc>
          <w:tcPr>
            <w:tcW w:w="851"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中级以下职称人数</w:t>
            </w:r>
          </w:p>
        </w:tc>
        <w:tc>
          <w:tcPr>
            <w:tcW w:w="666"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博士生人数</w:t>
            </w:r>
          </w:p>
        </w:tc>
        <w:tc>
          <w:tcPr>
            <w:tcW w:w="739"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硕士生人数</w:t>
            </w:r>
          </w:p>
        </w:tc>
        <w:tc>
          <w:tcPr>
            <w:tcW w:w="544"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本科人数</w:t>
            </w:r>
          </w:p>
        </w:tc>
        <w:tc>
          <w:tcPr>
            <w:tcW w:w="739"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大专人数</w:t>
            </w:r>
          </w:p>
        </w:tc>
        <w:tc>
          <w:tcPr>
            <w:tcW w:w="564"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大专以下人数</w:t>
            </w:r>
          </w:p>
        </w:tc>
      </w:tr>
      <w:tr>
        <w:tblPrEx>
          <w:tblCellMar>
            <w:top w:w="0" w:type="dxa"/>
            <w:left w:w="108" w:type="dxa"/>
            <w:bottom w:w="0" w:type="dxa"/>
            <w:right w:w="108" w:type="dxa"/>
          </w:tblCellMar>
        </w:tblPrEx>
        <w:trPr>
          <w:trHeight w:val="454" w:hRule="exact"/>
        </w:trPr>
        <w:tc>
          <w:tcPr>
            <w:tcW w:w="1156"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校本部</w:t>
            </w:r>
          </w:p>
        </w:tc>
        <w:tc>
          <w:tcPr>
            <w:tcW w:w="580"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23</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2</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8</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10</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3</w:t>
            </w:r>
          </w:p>
        </w:tc>
        <w:tc>
          <w:tcPr>
            <w:tcW w:w="666"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4</w:t>
            </w:r>
          </w:p>
        </w:tc>
        <w:tc>
          <w:tcPr>
            <w:tcW w:w="54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19</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w:t>
            </w:r>
          </w:p>
        </w:tc>
        <w:tc>
          <w:tcPr>
            <w:tcW w:w="56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w:t>
            </w:r>
          </w:p>
        </w:tc>
      </w:tr>
      <w:tr>
        <w:tblPrEx>
          <w:tblCellMar>
            <w:top w:w="0" w:type="dxa"/>
            <w:left w:w="108" w:type="dxa"/>
            <w:bottom w:w="0" w:type="dxa"/>
            <w:right w:w="108" w:type="dxa"/>
          </w:tblCellMar>
        </w:tblPrEx>
        <w:trPr>
          <w:trHeight w:val="560" w:hRule="atLeast"/>
        </w:trPr>
        <w:tc>
          <w:tcPr>
            <w:tcW w:w="1156"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所辖教学点汇总</w:t>
            </w:r>
          </w:p>
        </w:tc>
        <w:tc>
          <w:tcPr>
            <w:tcW w:w="5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53</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0</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34</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18</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1</w:t>
            </w:r>
          </w:p>
        </w:tc>
        <w:tc>
          <w:tcPr>
            <w:tcW w:w="666"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2</w:t>
            </w:r>
          </w:p>
        </w:tc>
        <w:tc>
          <w:tcPr>
            <w:tcW w:w="54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51</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w:t>
            </w:r>
          </w:p>
        </w:tc>
        <w:tc>
          <w:tcPr>
            <w:tcW w:w="56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w:t>
            </w:r>
          </w:p>
        </w:tc>
      </w:tr>
    </w:tbl>
    <w:p>
      <w:pPr>
        <w:pStyle w:val="12"/>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30"/>
          <w:szCs w:val="30"/>
          <w:highlight w:val="none"/>
          <w:lang w:val="en-US" w:eastAsia="zh-CN" w:bidi="ar-SA"/>
        </w:rPr>
        <w:t>校外</w:t>
      </w:r>
      <w:r>
        <w:rPr>
          <w:rFonts w:hint="eastAsia" w:ascii="仿宋" w:hAnsi="仿宋" w:eastAsia="仿宋" w:cs="仿宋"/>
          <w:color w:val="auto"/>
          <w:kern w:val="0"/>
          <w:sz w:val="28"/>
          <w:szCs w:val="28"/>
          <w:highlight w:val="none"/>
          <w:lang w:val="en-US" w:eastAsia="zh-CN" w:bidi="ar-SA"/>
        </w:rPr>
        <w:t>聘任教师数量与结构</w:t>
      </w:r>
    </w:p>
    <w:tbl>
      <w:tblPr>
        <w:tblStyle w:val="7"/>
        <w:tblW w:w="8390" w:type="dxa"/>
        <w:tblInd w:w="0" w:type="dxa"/>
        <w:tblLayout w:type="fixed"/>
        <w:tblCellMar>
          <w:top w:w="0" w:type="dxa"/>
          <w:left w:w="108" w:type="dxa"/>
          <w:bottom w:w="0" w:type="dxa"/>
          <w:right w:w="108" w:type="dxa"/>
        </w:tblCellMar>
      </w:tblPr>
      <w:tblGrid>
        <w:gridCol w:w="1115"/>
        <w:gridCol w:w="621"/>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15" w:type="dxa"/>
            <w:vMerge w:val="restart"/>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名称</w:t>
            </w:r>
          </w:p>
        </w:tc>
        <w:tc>
          <w:tcPr>
            <w:tcW w:w="621" w:type="dxa"/>
            <w:vMerge w:val="restart"/>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学历情况</w:t>
            </w:r>
          </w:p>
        </w:tc>
      </w:tr>
      <w:tr>
        <w:tblPrEx>
          <w:tblCellMar>
            <w:top w:w="0" w:type="dxa"/>
            <w:left w:w="108" w:type="dxa"/>
            <w:bottom w:w="0" w:type="dxa"/>
            <w:right w:w="108" w:type="dxa"/>
          </w:tblCellMar>
        </w:tblPrEx>
        <w:trPr>
          <w:trHeight w:val="570" w:hRule="atLeast"/>
        </w:trPr>
        <w:tc>
          <w:tcPr>
            <w:tcW w:w="1115" w:type="dxa"/>
            <w:vMerge w:val="continue"/>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color w:val="auto"/>
                <w:sz w:val="28"/>
                <w:szCs w:val="28"/>
                <w:highlight w:val="none"/>
              </w:rPr>
            </w:pPr>
          </w:p>
        </w:tc>
        <w:tc>
          <w:tcPr>
            <w:tcW w:w="621" w:type="dxa"/>
            <w:vMerge w:val="continue"/>
            <w:tcBorders>
              <w:top w:val="single" w:color="auto" w:sz="4" w:space="0"/>
              <w:left w:val="single" w:color="auto" w:sz="4" w:space="0"/>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正高职称人数</w:t>
            </w:r>
          </w:p>
        </w:tc>
        <w:tc>
          <w:tcPr>
            <w:tcW w:w="851"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副高职称人数</w:t>
            </w:r>
          </w:p>
        </w:tc>
        <w:tc>
          <w:tcPr>
            <w:tcW w:w="850"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中级职称人数</w:t>
            </w:r>
          </w:p>
        </w:tc>
        <w:tc>
          <w:tcPr>
            <w:tcW w:w="851"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中级以下职称人数</w:t>
            </w:r>
          </w:p>
        </w:tc>
        <w:tc>
          <w:tcPr>
            <w:tcW w:w="666"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博士生人数</w:t>
            </w:r>
          </w:p>
        </w:tc>
        <w:tc>
          <w:tcPr>
            <w:tcW w:w="739"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硕士生人数</w:t>
            </w:r>
          </w:p>
        </w:tc>
        <w:tc>
          <w:tcPr>
            <w:tcW w:w="544"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本科人数</w:t>
            </w:r>
          </w:p>
        </w:tc>
        <w:tc>
          <w:tcPr>
            <w:tcW w:w="739"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大专人数</w:t>
            </w:r>
          </w:p>
        </w:tc>
        <w:tc>
          <w:tcPr>
            <w:tcW w:w="564" w:type="dxa"/>
            <w:tcBorders>
              <w:top w:val="single" w:color="auto" w:sz="4" w:space="0"/>
              <w:left w:val="nil"/>
              <w:bottom w:val="single" w:color="auto" w:sz="4" w:space="0"/>
              <w:right w:val="single" w:color="auto" w:sz="4" w:space="0"/>
            </w:tcBorders>
            <w:shd w:val="clear" w:color="auto" w:fill="D7D7D7"/>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大专以下人数</w:t>
            </w:r>
          </w:p>
        </w:tc>
      </w:tr>
      <w:tr>
        <w:tblPrEx>
          <w:tblCellMar>
            <w:top w:w="0" w:type="dxa"/>
            <w:left w:w="108" w:type="dxa"/>
            <w:bottom w:w="0" w:type="dxa"/>
            <w:right w:w="108" w:type="dxa"/>
          </w:tblCellMar>
        </w:tblPrEx>
        <w:trPr>
          <w:trHeight w:val="454" w:hRule="exact"/>
        </w:trPr>
        <w:tc>
          <w:tcPr>
            <w:tcW w:w="111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bidi="ar-SA"/>
              </w:rPr>
              <w:t>校本部</w:t>
            </w:r>
          </w:p>
        </w:tc>
        <w:tc>
          <w:tcPr>
            <w:tcW w:w="62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55</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10</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15</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18</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12</w:t>
            </w:r>
          </w:p>
        </w:tc>
        <w:tc>
          <w:tcPr>
            <w:tcW w:w="666"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11</w:t>
            </w:r>
          </w:p>
        </w:tc>
        <w:tc>
          <w:tcPr>
            <w:tcW w:w="54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bidi="ar-SA"/>
              </w:rPr>
              <w:t>44</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w:t>
            </w:r>
          </w:p>
        </w:tc>
        <w:tc>
          <w:tcPr>
            <w:tcW w:w="56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w:t>
            </w:r>
          </w:p>
        </w:tc>
      </w:tr>
      <w:tr>
        <w:tblPrEx>
          <w:tblCellMar>
            <w:top w:w="0" w:type="dxa"/>
            <w:left w:w="108" w:type="dxa"/>
            <w:bottom w:w="0" w:type="dxa"/>
            <w:right w:w="108" w:type="dxa"/>
          </w:tblCellMar>
        </w:tblPrEx>
        <w:trPr>
          <w:trHeight w:val="560" w:hRule="atLeast"/>
        </w:trPr>
        <w:tc>
          <w:tcPr>
            <w:tcW w:w="111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bidi="ar-SA"/>
              </w:rPr>
            </w:pPr>
            <w:r>
              <w:rPr>
                <w:rFonts w:hint="eastAsia" w:ascii="仿宋" w:hAnsi="仿宋" w:eastAsia="仿宋" w:cs="仿宋"/>
                <w:color w:val="auto"/>
                <w:sz w:val="28"/>
                <w:szCs w:val="28"/>
                <w:highlight w:val="none"/>
                <w:lang w:val="en-US" w:eastAsia="zh-CN" w:bidi="ar-SA"/>
              </w:rPr>
              <w:t>所辖教学点汇总</w:t>
            </w:r>
          </w:p>
        </w:tc>
        <w:tc>
          <w:tcPr>
            <w:tcW w:w="62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73</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0</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43</w:t>
            </w:r>
          </w:p>
        </w:tc>
        <w:tc>
          <w:tcPr>
            <w:tcW w:w="85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23</w:t>
            </w:r>
          </w:p>
        </w:tc>
        <w:tc>
          <w:tcPr>
            <w:tcW w:w="851"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7</w:t>
            </w:r>
          </w:p>
        </w:tc>
        <w:tc>
          <w:tcPr>
            <w:tcW w:w="666"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11</w:t>
            </w:r>
          </w:p>
        </w:tc>
        <w:tc>
          <w:tcPr>
            <w:tcW w:w="54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52</w:t>
            </w:r>
          </w:p>
        </w:tc>
        <w:tc>
          <w:tcPr>
            <w:tcW w:w="73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10</w:t>
            </w:r>
          </w:p>
        </w:tc>
        <w:tc>
          <w:tcPr>
            <w:tcW w:w="56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四、科学研究和特色创新</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（一）科学研究</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重视发挥科研工作的引领与服务作用，明确设立教学科研处，成立学科建设领导小组，依据《学校学科建设实施方案》《南昌广播电视大学科研课题经费管理办法》等一系列科研管理办法，建立科研工作的激励与评价制度，对教师进行科研奖励，科研成果纳入学校职称评比晋升评分项，每年都开展学校的科研工作会议，强调科研诚信与学术道德教育。</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（二）特色创新</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default"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1.社区教育见成效。采用“互联网+”技术，营建线上线下联动的社区教育“学习超市”模式，获得了良好的办学效益。由学校指导组织并推送的“南昌市妇女儿童活动中心六心家园”项目，被教育部评为全国终身学习品牌。</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2.开展红色教育培训。与南昌市爱国主义教育基地八一起义纪念馆、新四军军部旧址陈列馆等诸多红色教育基地开展业务联系，与全国各省市开放大学共同开展红色教育培训项目工作。</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3.有效扩大老年教育供给。积极推动交流合作，与南昌市老年大学进行办学业务交流合作，共同开展老年大学线上、线下教育活动；依托南昌市百树教育集团开展紧密合作，遵循公益办学、服务社会、关爱老人原则，让老人在“乐学”中彰显长者风范；探索研发全国性老年教育大纲和通用教材，打造社会教育机构服务老年教育品牌的南昌模式。</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五、社会服务</w:t>
      </w:r>
    </w:p>
    <w:p>
      <w:pPr>
        <w:keepNext w:val="0"/>
        <w:keepLines w:val="0"/>
        <w:pageBreakBefore w:val="0"/>
        <w:widowControl w:val="0"/>
        <w:kinsoku/>
        <w:wordWrap/>
        <w:overflowPunct/>
        <w:topLinePunct w:val="0"/>
        <w:autoSpaceDE/>
        <w:autoSpaceDN/>
        <w:bidi w:val="0"/>
        <w:adjustRightInd/>
        <w:snapToGrid/>
        <w:spacing w:line="576" w:lineRule="exact"/>
        <w:ind w:left="0" w:firstLine="640" w:firstLineChars="200"/>
        <w:jc w:val="both"/>
        <w:textAlignment w:val="auto"/>
        <w:rPr>
          <w:rFonts w:hint="eastAsia" w:ascii="仿宋" w:hAnsi="仿宋" w:eastAsia="仿宋" w:cs="仿宋"/>
          <w:b/>
          <w:bCs/>
          <w:color w:val="auto"/>
          <w:sz w:val="30"/>
          <w:szCs w:val="30"/>
          <w:highlight w:val="none"/>
          <w:lang w:bidi="ar-SA"/>
        </w:rPr>
      </w:pPr>
      <w:r>
        <w:rPr>
          <w:rFonts w:hint="eastAsia" w:ascii="楷体" w:hAnsi="楷体" w:eastAsia="楷体" w:cs="楷体"/>
          <w:b w:val="0"/>
          <w:bCs w:val="0"/>
          <w:color w:val="auto"/>
          <w:sz w:val="32"/>
          <w:szCs w:val="32"/>
          <w:highlight w:val="none"/>
          <w:lang w:eastAsia="zh-CN" w:bidi="ar-SA"/>
        </w:rPr>
        <w:t>（一）</w:t>
      </w:r>
      <w:r>
        <w:rPr>
          <w:rFonts w:hint="eastAsia" w:ascii="楷体" w:hAnsi="楷体" w:eastAsia="楷体" w:cs="楷体"/>
          <w:b w:val="0"/>
          <w:bCs w:val="0"/>
          <w:color w:val="auto"/>
          <w:sz w:val="32"/>
          <w:szCs w:val="32"/>
          <w:highlight w:val="none"/>
          <w:lang w:bidi="ar-SA"/>
        </w:rPr>
        <w:t>服务</w:t>
      </w:r>
      <w:r>
        <w:rPr>
          <w:rFonts w:hint="eastAsia" w:ascii="楷体" w:hAnsi="楷体" w:eastAsia="楷体" w:cs="楷体"/>
          <w:b w:val="0"/>
          <w:bCs w:val="0"/>
          <w:color w:val="auto"/>
          <w:sz w:val="32"/>
          <w:szCs w:val="32"/>
          <w:highlight w:val="none"/>
          <w:lang w:eastAsia="zh-CN" w:bidi="ar-SA"/>
        </w:rPr>
        <w:t>地方</w:t>
      </w:r>
      <w:r>
        <w:rPr>
          <w:rFonts w:hint="eastAsia" w:ascii="楷体" w:hAnsi="楷体" w:eastAsia="楷体" w:cs="楷体"/>
          <w:b w:val="0"/>
          <w:bCs w:val="0"/>
          <w:color w:val="auto"/>
          <w:sz w:val="32"/>
          <w:szCs w:val="32"/>
          <w:highlight w:val="none"/>
          <w:lang w:bidi="ar-SA"/>
        </w:rPr>
        <w:t>经济社会发展与学习型社会建设情况</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1.培养农业人才，服务乡村振兴战略。自2012年开始实施“一村一名大学生工程”以来，共培养学员1694人，已毕业800人。做到了有组织、有资金、有渠道、有基地、有互助、有成效，为农村培养了一批不走的大学生村官、不走的农民技术员、不走的创业老板。</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着力促进社区教育发展。2016年成立南昌市社区教育指导中心，制定相关管理制度、安排专人负责、投入专项经费；建立南昌市民学习网，开展社区教育i-K12实验项目和社区家庭教育工作，做好了社区、学校和家庭共建活动。截至2020年12月，有国家级社区教育示范区1个，国家级社区教育实验区1个，江西省社区教育示范区3个，江西省社区教育实验区2个。</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3.积极开展老年教育工作。2019年推动市政府出台《南昌市人民政府办公厅关于大力推进老年教育事业发展的实施意见》，指导县区积极开展“老有所学、老有所教、老有所为、老有所乐”老年教育活动；整合周边社区教育资源，共建共享教育场地、设施。</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4.持续做好职业培训。2020年承办市教育局“全市教育系统平安校园安全管理干部培训班”、“2020年中小学法治教师及法治辅导员培训班”，带来良好的社会效益。</w:t>
      </w:r>
    </w:p>
    <w:p>
      <w:pPr>
        <w:keepNext w:val="0"/>
        <w:keepLines w:val="0"/>
        <w:pageBreakBefore w:val="0"/>
        <w:widowControl w:val="0"/>
        <w:kinsoku/>
        <w:wordWrap/>
        <w:overflowPunct/>
        <w:topLinePunct w:val="0"/>
        <w:autoSpaceDE/>
        <w:autoSpaceDN/>
        <w:bidi w:val="0"/>
        <w:adjustRightInd/>
        <w:snapToGrid/>
        <w:spacing w:line="576" w:lineRule="exact"/>
        <w:ind w:left="0" w:firstLine="640" w:firstLineChars="200"/>
        <w:jc w:val="both"/>
        <w:textAlignment w:val="auto"/>
        <w:rPr>
          <w:rFonts w:hint="eastAsia" w:ascii="楷体" w:hAnsi="楷体" w:eastAsia="楷体" w:cs="楷体"/>
          <w:b w:val="0"/>
          <w:bCs w:val="0"/>
          <w:color w:val="auto"/>
          <w:sz w:val="32"/>
          <w:szCs w:val="32"/>
          <w:highlight w:val="none"/>
          <w:lang w:bidi="ar-SA"/>
        </w:rPr>
      </w:pPr>
      <w:r>
        <w:rPr>
          <w:rFonts w:hint="eastAsia" w:ascii="楷体" w:hAnsi="楷体" w:eastAsia="楷体" w:cs="楷体"/>
          <w:b w:val="0"/>
          <w:bCs w:val="0"/>
          <w:color w:val="auto"/>
          <w:sz w:val="32"/>
          <w:szCs w:val="32"/>
          <w:highlight w:val="none"/>
          <w:lang w:eastAsia="zh-CN" w:bidi="ar-SA"/>
        </w:rPr>
        <w:t>（二）</w:t>
      </w:r>
      <w:r>
        <w:rPr>
          <w:rFonts w:hint="eastAsia" w:ascii="楷体" w:hAnsi="楷体" w:eastAsia="楷体" w:cs="楷体"/>
          <w:b w:val="0"/>
          <w:bCs w:val="0"/>
          <w:color w:val="auto"/>
          <w:sz w:val="32"/>
          <w:szCs w:val="32"/>
          <w:highlight w:val="none"/>
          <w:lang w:bidi="ar-SA"/>
        </w:rPr>
        <w:t>对口支援、教育帮扶情况</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成立以党委书记许卫华，党委副书记、校长万晖为组长，其他党委委员为副组长，各党小组支委为成员的结对帮扶领导小组。每人分别结对帮扶一名贫困户，每月开展一次爱心超市“三讲一评活动”，每季度开展结对帮扶活动。及时掌握建档立卡贫困户教育、健康、安居等方面的需求，按政策落实相关帮扶措施。</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2020年驻村工作队投资163万，建设完成社林自然村到留塘自然村、留塘自然村到上下坪自然村两条公路路面硬化工程，便利村民的生产和生活；使用第一书记项目资金10万元，建设上坪自然村机耕道480米，便利农业机械进出田间作业。</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（三）学校资源面向校内、社会开放服务情况</w:t>
      </w:r>
    </w:p>
    <w:p>
      <w:pPr>
        <w:pStyle w:val="3"/>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学校制作的试题库面向全社会开放，内含近年收集的各类开放大学及成人教育相关试题，其他校内图书、实训、实验、数字化资源和其他教学设备暂未对社会开放。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仿宋" w:hAnsi="仿宋" w:eastAsia="仿宋" w:cs="仿宋"/>
          <w:color w:val="auto"/>
          <w:kern w:val="0"/>
          <w:sz w:val="28"/>
          <w:szCs w:val="28"/>
          <w:highlight w:val="none"/>
          <w:lang w:val="en-US" w:eastAsia="zh-CN"/>
        </w:rPr>
      </w:pPr>
      <w:r>
        <w:rPr>
          <w:rFonts w:hint="eastAsia" w:ascii="黑体" w:hAnsi="黑体" w:eastAsia="黑体" w:cs="黑体"/>
          <w:color w:val="auto"/>
          <w:sz w:val="32"/>
          <w:szCs w:val="32"/>
          <w:highlight w:val="none"/>
          <w:lang w:eastAsia="zh-CN"/>
        </w:rPr>
        <w:t>六、年度办学业务考评</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黑体" w:hAnsi="黑体" w:eastAsia="黑体" w:cs="黑体"/>
          <w:color w:val="auto"/>
          <w:sz w:val="32"/>
          <w:szCs w:val="32"/>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7"/>
        <w:tblW w:w="7680" w:type="dxa"/>
        <w:jc w:val="center"/>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7"/>
        <w:tblW w:w="7680" w:type="dxa"/>
        <w:jc w:val="center"/>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72.7</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b w:val="0"/>
          <w:bCs w:val="0"/>
          <w:color w:val="auto"/>
          <w:sz w:val="32"/>
          <w:szCs w:val="32"/>
          <w:highlight w:val="none"/>
          <w:lang w:eastAsia="zh-CN" w:bidi="ar-SA"/>
        </w:rPr>
      </w:pPr>
      <w:r>
        <w:rPr>
          <w:rFonts w:hint="eastAsia" w:ascii="黑体" w:hAnsi="黑体" w:eastAsia="黑体" w:cs="黑体"/>
          <w:b w:val="0"/>
          <w:bCs w:val="0"/>
          <w:color w:val="auto"/>
          <w:sz w:val="32"/>
          <w:szCs w:val="32"/>
          <w:highlight w:val="none"/>
          <w:lang w:eastAsia="zh-CN" w:bidi="ar-SA"/>
        </w:rPr>
        <w:t>七、存在的问题</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1.办学愿景与办学能力之间不适应。目前学校在办学能力方面无论是校园面积、办学基础设施、信息化建设等硬件条件，还是办学观念、办学队伍、教学科研水平和大学治理体系和治理能力建设等软件，与新时代办学要求不相适应。</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2.近年来学校在内涵建设、队伍建设水平等方面还有不足，有待提高。在抓好网上有效学习行为和学生学习深度、教师对学生利用学习网进行学习指导等方面还需改进。</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对策建议</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2021年按照转型发展要求，本着学历教育与非学历教育双轮驱动的发展战略，以终身教育为抓手，充分利用现代化信息技术，扩大开放办学功能、增强办学特色和办学优势，积极构建服务全民的终身学习体系。</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279400" cy="2171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9400" cy="217170"/>
                      </a:xfrm>
                      <a:prstGeom prst="rect">
                        <a:avLst/>
                      </a:prstGeom>
                      <a:noFill/>
                      <a:ln w="6350">
                        <a:noFill/>
                      </a:ln>
                      <a:effectLst/>
                    </wps:spPr>
                    <wps:txbx>
                      <w:txbxContent>
                        <w:p>
                          <w:pPr>
                            <w:pStyle w:val="4"/>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7.1pt;width:22pt;mso-position-horizontal:outside;mso-position-horizontal-relative:margin;mso-wrap-style:none;z-index:251658240;mso-width-relative:page;mso-height-relative:page;" filled="f" stroked="f" coordsize="21600,21600" o:gfxdata="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CFQcvRAAAAAwEAAA8AAAAAAAAAAQAgAAAAIgAAAGRycy9kb3ducmV2LnhtbFBLAQIU&#10;ABQAAAAIAIdO4kA4mv/BwQEAAGADAAAOAAAAAAAAAAEAIAAAACABAABkcnMvZTJvRG9jLnhtbFBL&#10;BQYAAAAABgAGAFkBAABTBQAAAAA=&#10;">
              <v:fill on="f" focussize="0,0"/>
              <v:stroke on="f" weight="0.5pt"/>
              <v:imagedata o:title=""/>
              <o:lock v:ext="edit" aspectratio="f"/>
              <v:textbox inset="0mm,0mm,0mm,0mm" style="mso-fit-shape-to-text:t;">
                <w:txbxContent>
                  <w:p>
                    <w:pPr>
                      <w:pStyle w:val="4"/>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F78B8"/>
    <w:multiLevelType w:val="singleLevel"/>
    <w:tmpl w:val="66BF78B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51BDE"/>
    <w:rsid w:val="099B3929"/>
    <w:rsid w:val="0D84544E"/>
    <w:rsid w:val="26C46840"/>
    <w:rsid w:val="292A5448"/>
    <w:rsid w:val="2CA7384C"/>
    <w:rsid w:val="2E451BDE"/>
    <w:rsid w:val="31842A05"/>
    <w:rsid w:val="31FE4F1B"/>
    <w:rsid w:val="3C100BCD"/>
    <w:rsid w:val="4399196E"/>
    <w:rsid w:val="46AC10F1"/>
    <w:rsid w:val="4B110EBD"/>
    <w:rsid w:val="59B56273"/>
    <w:rsid w:val="59B64194"/>
    <w:rsid w:val="5D2807AD"/>
    <w:rsid w:val="5D572A3C"/>
    <w:rsid w:val="5E261CB4"/>
    <w:rsid w:val="5F0B14D7"/>
    <w:rsid w:val="5F974192"/>
    <w:rsid w:val="6B87022C"/>
    <w:rsid w:val="73E27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2"/>
    <w:basedOn w:val="1"/>
    <w:qFormat/>
    <w:uiPriority w:val="0"/>
    <w:pPr>
      <w:spacing w:line="480" w:lineRule="auto"/>
      <w:ind w:left="420" w:leftChars="2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480" w:lineRule="atLeast"/>
      <w:jc w:val="left"/>
    </w:pPr>
    <w:rPr>
      <w:rFonts w:ascii="宋体" w:hAnsi="宋体" w:cs="宋体"/>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NormalCharacter"/>
    <w:semiHidden/>
    <w:qFormat/>
    <w:uiPriority w:val="0"/>
    <w:rPr>
      <w:rFonts w:ascii="Calibri" w:hAnsi="Calibri" w:eastAsia="宋体" w:cs="Times New Roman"/>
      <w:kern w:val="2"/>
      <w:sz w:val="21"/>
      <w:szCs w:val="24"/>
      <w:lang w:val="en-US" w:eastAsia="zh-CN" w:bidi="ar-SA"/>
    </w:rPr>
  </w:style>
  <w:style w:type="character" w:customStyle="1" w:styleId="11">
    <w:name w:val="16"/>
    <w:qFormat/>
    <w:uiPriority w:val="0"/>
    <w:rPr>
      <w:rFonts w:ascii="Times New Roman" w:hAnsi="Times New Roman" w:cs="Times New Roman"/>
      <w:lang w:bidi="ar-SA"/>
    </w:rPr>
  </w:style>
  <w:style w:type="paragraph" w:customStyle="1" w:styleId="12">
    <w:name w:val="列出段落"/>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2021-03-28T01:37:00Z</dcterms:created>
  <dc:creator>青</dc:creator>
  <cp:lastModifiedBy>青</cp:lastModifiedBy>
  <cp:lastPrinted>2021-04-22T03:04:42Z</cp:lastPrinted>
  <dcterms:modified xsi:type="dcterms:W3CDTF">2021-04-22T03:05:27Z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